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0565" w14:textId="77777777" w:rsidR="006540DA" w:rsidRDefault="006540DA" w:rsidP="006540DA">
      <w:pPr>
        <w:pStyle w:val="Default"/>
        <w:ind w:left="567" w:right="780"/>
      </w:pPr>
    </w:p>
    <w:p w14:paraId="01E8D5ED" w14:textId="77777777" w:rsidR="008620BA" w:rsidRDefault="008620BA" w:rsidP="006540DA">
      <w:pPr>
        <w:pStyle w:val="Default"/>
        <w:ind w:left="567" w:right="780"/>
        <w:rPr>
          <w:b/>
          <w:bCs/>
          <w:sz w:val="28"/>
          <w:szCs w:val="28"/>
        </w:rPr>
      </w:pPr>
    </w:p>
    <w:p w14:paraId="5C639D98" w14:textId="77777777" w:rsidR="008620BA" w:rsidRDefault="008620BA" w:rsidP="006540DA">
      <w:pPr>
        <w:pStyle w:val="Default"/>
        <w:ind w:left="567" w:right="780"/>
        <w:rPr>
          <w:b/>
          <w:bCs/>
          <w:sz w:val="28"/>
          <w:szCs w:val="28"/>
        </w:rPr>
      </w:pPr>
    </w:p>
    <w:p w14:paraId="74A1A869" w14:textId="77777777" w:rsidR="008620BA" w:rsidRDefault="008620BA" w:rsidP="006540DA">
      <w:pPr>
        <w:pStyle w:val="Default"/>
        <w:ind w:left="567" w:right="780"/>
        <w:rPr>
          <w:b/>
          <w:bCs/>
          <w:sz w:val="28"/>
          <w:szCs w:val="28"/>
        </w:rPr>
      </w:pPr>
    </w:p>
    <w:p w14:paraId="78C6ACF7" w14:textId="77777777" w:rsidR="008620BA" w:rsidRDefault="008620BA" w:rsidP="006540DA">
      <w:pPr>
        <w:pStyle w:val="Default"/>
        <w:ind w:left="567" w:right="780"/>
        <w:rPr>
          <w:b/>
          <w:bCs/>
          <w:sz w:val="28"/>
          <w:szCs w:val="28"/>
        </w:rPr>
      </w:pPr>
    </w:p>
    <w:p w14:paraId="78E6846D" w14:textId="77777777" w:rsidR="008620BA" w:rsidRDefault="008620BA" w:rsidP="008620BA">
      <w:pPr>
        <w:pStyle w:val="Default"/>
        <w:ind w:left="567" w:right="780"/>
        <w:jc w:val="center"/>
        <w:rPr>
          <w:b/>
          <w:bCs/>
          <w:sz w:val="28"/>
          <w:szCs w:val="28"/>
        </w:rPr>
      </w:pPr>
    </w:p>
    <w:p w14:paraId="3E733DD0" w14:textId="77777777" w:rsidR="008620BA" w:rsidRDefault="008620BA" w:rsidP="008620BA">
      <w:pPr>
        <w:pStyle w:val="Default"/>
        <w:ind w:left="567" w:right="780"/>
        <w:jc w:val="center"/>
        <w:rPr>
          <w:b/>
          <w:bCs/>
          <w:sz w:val="28"/>
          <w:szCs w:val="28"/>
        </w:rPr>
      </w:pPr>
    </w:p>
    <w:p w14:paraId="661723E9" w14:textId="77777777" w:rsidR="008620BA" w:rsidRDefault="008620BA" w:rsidP="008620BA">
      <w:pPr>
        <w:pStyle w:val="Default"/>
        <w:ind w:left="567" w:right="780"/>
        <w:jc w:val="center"/>
        <w:rPr>
          <w:b/>
          <w:bCs/>
          <w:sz w:val="28"/>
          <w:szCs w:val="28"/>
        </w:rPr>
      </w:pPr>
    </w:p>
    <w:p w14:paraId="20C98933" w14:textId="77777777" w:rsidR="008620BA" w:rsidRPr="006B4075" w:rsidRDefault="008620BA" w:rsidP="006B4075">
      <w:pPr>
        <w:pStyle w:val="Title"/>
        <w:rPr>
          <w:rFonts w:ascii="Arial" w:hAnsi="Arial" w:cs="Arial"/>
        </w:rPr>
      </w:pPr>
      <w:r w:rsidRPr="006B4075">
        <w:rPr>
          <w:rFonts w:ascii="Arial" w:hAnsi="Arial" w:cs="Arial"/>
        </w:rPr>
        <w:t>Herefordshire</w:t>
      </w:r>
    </w:p>
    <w:p w14:paraId="6EA11E0D" w14:textId="77777777" w:rsidR="008620BA" w:rsidRPr="006B4075" w:rsidRDefault="008620BA" w:rsidP="006B4075">
      <w:pPr>
        <w:pStyle w:val="Title"/>
        <w:rPr>
          <w:rFonts w:ascii="Arial" w:hAnsi="Arial" w:cs="Arial"/>
        </w:rPr>
      </w:pPr>
      <w:r w:rsidRPr="006B4075">
        <w:rPr>
          <w:rFonts w:ascii="Arial" w:hAnsi="Arial" w:cs="Arial"/>
        </w:rPr>
        <w:t xml:space="preserve">Alternative Provision </w:t>
      </w:r>
      <w:r w:rsidR="00A37BE5" w:rsidRPr="006B4075">
        <w:rPr>
          <w:rFonts w:ascii="Arial" w:hAnsi="Arial" w:cs="Arial"/>
        </w:rPr>
        <w:t>Approach</w:t>
      </w:r>
    </w:p>
    <w:p w14:paraId="360ABF3A" w14:textId="7D9BE1D1" w:rsidR="008620BA" w:rsidRPr="006B4075" w:rsidRDefault="008620BA" w:rsidP="006B4075">
      <w:pPr>
        <w:pStyle w:val="Title"/>
        <w:rPr>
          <w:rFonts w:ascii="Arial" w:hAnsi="Arial" w:cs="Arial"/>
        </w:rPr>
      </w:pPr>
      <w:r w:rsidRPr="006B4075">
        <w:rPr>
          <w:rFonts w:ascii="Arial" w:hAnsi="Arial" w:cs="Arial"/>
        </w:rPr>
        <w:t>2023</w:t>
      </w:r>
      <w:r w:rsidR="00BA52F2" w:rsidRPr="006B4075">
        <w:rPr>
          <w:rFonts w:ascii="Arial" w:hAnsi="Arial" w:cs="Arial"/>
        </w:rPr>
        <w:t xml:space="preserve"> </w:t>
      </w:r>
      <w:r w:rsidR="004B5818" w:rsidRPr="006B4075">
        <w:rPr>
          <w:rFonts w:ascii="Arial" w:hAnsi="Arial" w:cs="Arial"/>
        </w:rPr>
        <w:t>–</w:t>
      </w:r>
      <w:r w:rsidR="00BA52F2" w:rsidRPr="006B4075">
        <w:rPr>
          <w:rFonts w:ascii="Arial" w:hAnsi="Arial" w:cs="Arial"/>
        </w:rPr>
        <w:t xml:space="preserve"> 2026</w:t>
      </w:r>
    </w:p>
    <w:p w14:paraId="22372542" w14:textId="44A60156" w:rsidR="004B5818" w:rsidRPr="006B4075" w:rsidRDefault="004B5818" w:rsidP="006B4075">
      <w:pPr>
        <w:pStyle w:val="Subtitle"/>
        <w:rPr>
          <w:rFonts w:ascii="Arial" w:hAnsi="Arial" w:cs="Arial"/>
        </w:rPr>
      </w:pPr>
      <w:r w:rsidRPr="006B4075">
        <w:rPr>
          <w:rFonts w:ascii="Arial" w:hAnsi="Arial" w:cs="Arial"/>
        </w:rPr>
        <w:t xml:space="preserve">Reviewed </w:t>
      </w:r>
      <w:r w:rsidR="00B42433" w:rsidRPr="006B4075">
        <w:rPr>
          <w:rFonts w:ascii="Arial" w:hAnsi="Arial" w:cs="Arial"/>
        </w:rPr>
        <w:t>May 2025</w:t>
      </w:r>
    </w:p>
    <w:p w14:paraId="5556DA21" w14:textId="77777777" w:rsidR="008620BA" w:rsidRDefault="008620BA" w:rsidP="006540DA">
      <w:pPr>
        <w:pStyle w:val="Default"/>
        <w:ind w:left="567" w:right="780"/>
        <w:rPr>
          <w:b/>
          <w:bCs/>
          <w:sz w:val="28"/>
          <w:szCs w:val="28"/>
        </w:rPr>
      </w:pPr>
    </w:p>
    <w:p w14:paraId="7FFAF774" w14:textId="77777777" w:rsidR="008620BA" w:rsidRDefault="008620BA" w:rsidP="006540DA">
      <w:pPr>
        <w:pStyle w:val="Default"/>
        <w:ind w:left="567" w:right="780"/>
        <w:rPr>
          <w:b/>
          <w:bCs/>
          <w:sz w:val="28"/>
          <w:szCs w:val="28"/>
        </w:rPr>
      </w:pPr>
    </w:p>
    <w:p w14:paraId="59F42AAE" w14:textId="77777777" w:rsidR="008620BA" w:rsidRDefault="008620BA" w:rsidP="006540DA">
      <w:pPr>
        <w:pStyle w:val="Default"/>
        <w:ind w:left="567" w:right="780"/>
        <w:rPr>
          <w:b/>
          <w:bCs/>
          <w:sz w:val="28"/>
          <w:szCs w:val="28"/>
        </w:rPr>
      </w:pPr>
    </w:p>
    <w:p w14:paraId="071633B3" w14:textId="77777777" w:rsidR="008620BA" w:rsidRDefault="008620BA" w:rsidP="006540DA">
      <w:pPr>
        <w:pStyle w:val="Default"/>
        <w:ind w:left="567" w:right="780"/>
        <w:rPr>
          <w:b/>
          <w:bCs/>
          <w:sz w:val="28"/>
          <w:szCs w:val="28"/>
        </w:rPr>
      </w:pPr>
    </w:p>
    <w:p w14:paraId="79CA0F60" w14:textId="77777777" w:rsidR="008620BA" w:rsidRDefault="008620BA" w:rsidP="006540DA">
      <w:pPr>
        <w:pStyle w:val="Default"/>
        <w:ind w:left="567" w:right="780"/>
        <w:rPr>
          <w:b/>
          <w:bCs/>
          <w:sz w:val="28"/>
          <w:szCs w:val="28"/>
        </w:rPr>
      </w:pPr>
    </w:p>
    <w:p w14:paraId="57BCBC4D" w14:textId="77777777" w:rsidR="008620BA" w:rsidRDefault="008620BA" w:rsidP="006540DA">
      <w:pPr>
        <w:pStyle w:val="Default"/>
        <w:ind w:left="567" w:right="780"/>
        <w:rPr>
          <w:b/>
          <w:bCs/>
          <w:sz w:val="28"/>
          <w:szCs w:val="28"/>
        </w:rPr>
      </w:pPr>
    </w:p>
    <w:p w14:paraId="7E90BB7F" w14:textId="77777777" w:rsidR="008620BA" w:rsidRDefault="008620BA" w:rsidP="006540DA">
      <w:pPr>
        <w:pStyle w:val="Default"/>
        <w:ind w:left="567" w:right="780"/>
        <w:rPr>
          <w:b/>
          <w:bCs/>
          <w:sz w:val="28"/>
          <w:szCs w:val="28"/>
        </w:rPr>
      </w:pPr>
    </w:p>
    <w:p w14:paraId="1175FC10" w14:textId="77777777" w:rsidR="008620BA" w:rsidRDefault="008620BA" w:rsidP="006540DA">
      <w:pPr>
        <w:pStyle w:val="Default"/>
        <w:ind w:left="567" w:right="780"/>
        <w:rPr>
          <w:b/>
          <w:bCs/>
          <w:sz w:val="28"/>
          <w:szCs w:val="28"/>
        </w:rPr>
      </w:pPr>
    </w:p>
    <w:p w14:paraId="7653AE47" w14:textId="77777777" w:rsidR="008620BA" w:rsidRDefault="008620BA" w:rsidP="006540DA">
      <w:pPr>
        <w:pStyle w:val="Default"/>
        <w:ind w:left="567" w:right="780"/>
        <w:rPr>
          <w:b/>
          <w:bCs/>
          <w:sz w:val="28"/>
          <w:szCs w:val="28"/>
        </w:rPr>
      </w:pPr>
    </w:p>
    <w:p w14:paraId="0351CA0A" w14:textId="77777777" w:rsidR="008620BA" w:rsidRDefault="008620BA" w:rsidP="006540DA">
      <w:pPr>
        <w:pStyle w:val="Default"/>
        <w:ind w:left="567" w:right="780"/>
        <w:rPr>
          <w:b/>
          <w:bCs/>
          <w:sz w:val="28"/>
          <w:szCs w:val="28"/>
        </w:rPr>
      </w:pPr>
    </w:p>
    <w:p w14:paraId="73C09901" w14:textId="77777777" w:rsidR="008620BA" w:rsidRDefault="008620BA" w:rsidP="006540DA">
      <w:pPr>
        <w:pStyle w:val="Default"/>
        <w:ind w:left="567" w:right="780"/>
        <w:rPr>
          <w:b/>
          <w:bCs/>
          <w:sz w:val="28"/>
          <w:szCs w:val="28"/>
        </w:rPr>
      </w:pPr>
    </w:p>
    <w:p w14:paraId="3EBA9E1F" w14:textId="77777777" w:rsidR="008620BA" w:rsidRDefault="008620BA" w:rsidP="006540DA">
      <w:pPr>
        <w:pStyle w:val="Default"/>
        <w:ind w:left="567" w:right="780"/>
        <w:rPr>
          <w:b/>
          <w:bCs/>
          <w:sz w:val="28"/>
          <w:szCs w:val="28"/>
        </w:rPr>
      </w:pPr>
    </w:p>
    <w:p w14:paraId="1850E541" w14:textId="77777777" w:rsidR="008620BA" w:rsidRDefault="008620BA" w:rsidP="006540DA">
      <w:pPr>
        <w:pStyle w:val="Default"/>
        <w:ind w:left="567" w:right="780"/>
        <w:rPr>
          <w:b/>
          <w:bCs/>
          <w:sz w:val="28"/>
          <w:szCs w:val="28"/>
        </w:rPr>
      </w:pPr>
    </w:p>
    <w:p w14:paraId="7277A7DB" w14:textId="77777777" w:rsidR="008620BA" w:rsidRDefault="008620BA" w:rsidP="006540DA">
      <w:pPr>
        <w:pStyle w:val="Default"/>
        <w:ind w:left="567" w:right="780"/>
        <w:rPr>
          <w:b/>
          <w:bCs/>
          <w:sz w:val="28"/>
          <w:szCs w:val="28"/>
        </w:rPr>
      </w:pPr>
    </w:p>
    <w:p w14:paraId="736F7411" w14:textId="77777777" w:rsidR="008620BA" w:rsidRDefault="008620BA" w:rsidP="006540DA">
      <w:pPr>
        <w:pStyle w:val="Default"/>
        <w:ind w:left="567" w:right="780"/>
        <w:rPr>
          <w:b/>
          <w:bCs/>
          <w:sz w:val="28"/>
          <w:szCs w:val="28"/>
        </w:rPr>
      </w:pPr>
    </w:p>
    <w:p w14:paraId="15C4A597" w14:textId="77777777" w:rsidR="008620BA" w:rsidRDefault="008620BA" w:rsidP="006540DA">
      <w:pPr>
        <w:pStyle w:val="Default"/>
        <w:ind w:left="567" w:right="780"/>
        <w:rPr>
          <w:b/>
          <w:bCs/>
          <w:sz w:val="28"/>
          <w:szCs w:val="28"/>
        </w:rPr>
      </w:pPr>
    </w:p>
    <w:p w14:paraId="34115D9C" w14:textId="77777777" w:rsidR="008620BA" w:rsidRDefault="008620BA" w:rsidP="006540DA">
      <w:pPr>
        <w:pStyle w:val="Default"/>
        <w:ind w:left="567" w:right="780"/>
        <w:rPr>
          <w:b/>
          <w:bCs/>
          <w:sz w:val="28"/>
          <w:szCs w:val="28"/>
        </w:rPr>
      </w:pPr>
    </w:p>
    <w:p w14:paraId="1940F5A7" w14:textId="77777777" w:rsidR="008620BA" w:rsidRDefault="008620BA" w:rsidP="006540DA">
      <w:pPr>
        <w:pStyle w:val="Default"/>
        <w:ind w:left="567" w:right="780"/>
        <w:rPr>
          <w:b/>
          <w:bCs/>
          <w:sz w:val="28"/>
          <w:szCs w:val="28"/>
        </w:rPr>
      </w:pPr>
    </w:p>
    <w:p w14:paraId="6C1CC22F" w14:textId="77777777" w:rsidR="008620BA" w:rsidRDefault="008620BA" w:rsidP="006540DA">
      <w:pPr>
        <w:pStyle w:val="Default"/>
        <w:ind w:left="567" w:right="780"/>
        <w:rPr>
          <w:b/>
          <w:bCs/>
          <w:sz w:val="28"/>
          <w:szCs w:val="28"/>
        </w:rPr>
      </w:pPr>
    </w:p>
    <w:p w14:paraId="26527FF5" w14:textId="77777777" w:rsidR="008620BA" w:rsidRDefault="008620BA" w:rsidP="006540DA">
      <w:pPr>
        <w:pStyle w:val="Default"/>
        <w:ind w:left="567" w:right="780"/>
        <w:rPr>
          <w:b/>
          <w:bCs/>
          <w:sz w:val="28"/>
          <w:szCs w:val="28"/>
        </w:rPr>
      </w:pPr>
    </w:p>
    <w:p w14:paraId="4603AFA6" w14:textId="77777777" w:rsidR="008620BA" w:rsidRDefault="008620BA" w:rsidP="006540DA">
      <w:pPr>
        <w:pStyle w:val="Default"/>
        <w:ind w:left="567" w:right="780"/>
        <w:rPr>
          <w:b/>
          <w:bCs/>
          <w:sz w:val="28"/>
          <w:szCs w:val="28"/>
        </w:rPr>
      </w:pPr>
    </w:p>
    <w:p w14:paraId="16763E63" w14:textId="77777777" w:rsidR="008620BA" w:rsidRDefault="008620BA" w:rsidP="006540DA">
      <w:pPr>
        <w:pStyle w:val="Default"/>
        <w:ind w:left="567" w:right="780"/>
        <w:rPr>
          <w:b/>
          <w:bCs/>
          <w:sz w:val="28"/>
          <w:szCs w:val="28"/>
        </w:rPr>
      </w:pPr>
    </w:p>
    <w:p w14:paraId="51440F97" w14:textId="77777777" w:rsidR="008620BA" w:rsidRDefault="008620BA" w:rsidP="006540DA">
      <w:pPr>
        <w:pStyle w:val="Default"/>
        <w:ind w:left="567" w:right="780"/>
        <w:rPr>
          <w:b/>
          <w:bCs/>
          <w:sz w:val="28"/>
          <w:szCs w:val="28"/>
        </w:rPr>
      </w:pPr>
    </w:p>
    <w:p w14:paraId="3B16F377" w14:textId="77777777" w:rsidR="008620BA" w:rsidRDefault="008620BA" w:rsidP="006540DA">
      <w:pPr>
        <w:pStyle w:val="Default"/>
        <w:ind w:left="567" w:right="780"/>
        <w:rPr>
          <w:b/>
          <w:bCs/>
          <w:sz w:val="28"/>
          <w:szCs w:val="28"/>
        </w:rPr>
      </w:pPr>
    </w:p>
    <w:p w14:paraId="7A86ED60" w14:textId="77777777" w:rsidR="008620BA" w:rsidRDefault="008620BA" w:rsidP="006540DA">
      <w:pPr>
        <w:pStyle w:val="Default"/>
        <w:ind w:left="567" w:right="780"/>
        <w:rPr>
          <w:b/>
          <w:bCs/>
          <w:sz w:val="28"/>
          <w:szCs w:val="28"/>
        </w:rPr>
      </w:pPr>
    </w:p>
    <w:p w14:paraId="254D7137" w14:textId="77777777" w:rsidR="008620BA" w:rsidRDefault="008620BA" w:rsidP="006540DA">
      <w:pPr>
        <w:pStyle w:val="Default"/>
        <w:ind w:left="567" w:right="780"/>
        <w:rPr>
          <w:b/>
          <w:bCs/>
          <w:sz w:val="28"/>
          <w:szCs w:val="28"/>
        </w:rPr>
      </w:pPr>
    </w:p>
    <w:p w14:paraId="26FD0FD7" w14:textId="77777777" w:rsidR="008620BA" w:rsidRDefault="008620BA" w:rsidP="006540DA">
      <w:pPr>
        <w:pStyle w:val="Default"/>
        <w:ind w:left="567" w:right="780"/>
        <w:rPr>
          <w:b/>
          <w:bCs/>
          <w:sz w:val="28"/>
          <w:szCs w:val="28"/>
        </w:rPr>
      </w:pPr>
    </w:p>
    <w:p w14:paraId="5555822C" w14:textId="77777777" w:rsidR="008620BA" w:rsidRDefault="008620BA" w:rsidP="006540DA">
      <w:pPr>
        <w:pStyle w:val="Default"/>
        <w:ind w:left="567" w:right="780"/>
        <w:rPr>
          <w:b/>
          <w:bCs/>
          <w:sz w:val="28"/>
          <w:szCs w:val="28"/>
        </w:rPr>
      </w:pPr>
    </w:p>
    <w:p w14:paraId="4C6FAE5F" w14:textId="77777777" w:rsidR="008620BA" w:rsidRDefault="008620BA" w:rsidP="006540DA">
      <w:pPr>
        <w:pStyle w:val="Default"/>
        <w:ind w:left="567" w:right="780"/>
        <w:rPr>
          <w:b/>
          <w:bCs/>
          <w:sz w:val="28"/>
          <w:szCs w:val="28"/>
        </w:rPr>
      </w:pPr>
    </w:p>
    <w:p w14:paraId="73814AED" w14:textId="77777777" w:rsidR="008620BA" w:rsidRDefault="008620BA" w:rsidP="006540DA">
      <w:pPr>
        <w:pStyle w:val="Default"/>
        <w:ind w:left="567" w:right="780"/>
        <w:rPr>
          <w:b/>
          <w:bCs/>
          <w:sz w:val="28"/>
          <w:szCs w:val="28"/>
        </w:rPr>
      </w:pPr>
    </w:p>
    <w:p w14:paraId="42244CD3" w14:textId="77777777" w:rsidR="008620BA" w:rsidRDefault="008620BA" w:rsidP="006540DA">
      <w:pPr>
        <w:pStyle w:val="Default"/>
        <w:ind w:left="567" w:right="780"/>
        <w:rPr>
          <w:b/>
          <w:bCs/>
          <w:sz w:val="28"/>
          <w:szCs w:val="28"/>
        </w:rPr>
      </w:pPr>
    </w:p>
    <w:p w14:paraId="05A415B2" w14:textId="77777777" w:rsidR="008620BA" w:rsidRDefault="008620BA" w:rsidP="006540DA">
      <w:pPr>
        <w:pStyle w:val="Default"/>
        <w:ind w:left="567" w:right="780"/>
        <w:rPr>
          <w:b/>
          <w:bCs/>
          <w:sz w:val="28"/>
          <w:szCs w:val="28"/>
        </w:rPr>
      </w:pPr>
    </w:p>
    <w:p w14:paraId="02E0F561" w14:textId="77777777" w:rsidR="008620BA" w:rsidRDefault="008620BA" w:rsidP="006540DA">
      <w:pPr>
        <w:pStyle w:val="Default"/>
        <w:ind w:left="567" w:right="780"/>
        <w:rPr>
          <w:b/>
          <w:bCs/>
          <w:sz w:val="28"/>
          <w:szCs w:val="28"/>
        </w:rPr>
      </w:pPr>
    </w:p>
    <w:p w14:paraId="34C4D857" w14:textId="0D47E4B1" w:rsidR="006B4075" w:rsidRDefault="006B4075" w:rsidP="00656E54">
      <w:pPr>
        <w:pStyle w:val="Default"/>
        <w:ind w:right="780"/>
        <w:rPr>
          <w:b/>
          <w:bCs/>
          <w:sz w:val="28"/>
          <w:szCs w:val="28"/>
        </w:rPr>
      </w:pPr>
    </w:p>
    <w:sdt>
      <w:sdtPr>
        <w:id w:val="-460036477"/>
        <w:docPartObj>
          <w:docPartGallery w:val="Table of Contents"/>
          <w:docPartUnique/>
        </w:docPartObj>
      </w:sdtPr>
      <w:sdtEndPr>
        <w:rPr>
          <w:rFonts w:ascii="Arial" w:eastAsia="Times New Roman" w:hAnsi="Arial" w:cs="Arial"/>
          <w:b/>
          <w:bCs/>
          <w:noProof/>
          <w:color w:val="auto"/>
          <w:sz w:val="22"/>
          <w:szCs w:val="20"/>
          <w:lang w:val="en-GB" w:eastAsia="en-GB"/>
        </w:rPr>
      </w:sdtEndPr>
      <w:sdtContent>
        <w:p w14:paraId="7EAC4C28" w14:textId="46F11434" w:rsidR="006B4075" w:rsidRDefault="006B4075">
          <w:pPr>
            <w:pStyle w:val="TOCHeading"/>
          </w:pPr>
          <w:r>
            <w:t>Contents</w:t>
          </w:r>
        </w:p>
        <w:p w14:paraId="1A060C08" w14:textId="0529AB59" w:rsidR="006B4075" w:rsidRDefault="006B4075">
          <w:pPr>
            <w:pStyle w:val="TOC1"/>
            <w:tabs>
              <w:tab w:val="right" w:leader="dot" w:pos="112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97506904" w:history="1">
            <w:r w:rsidRPr="00EB700C">
              <w:rPr>
                <w:rStyle w:val="Hyperlink"/>
                <w:noProof/>
              </w:rPr>
              <w:t>Introduction</w:t>
            </w:r>
            <w:r>
              <w:rPr>
                <w:noProof/>
                <w:webHidden/>
              </w:rPr>
              <w:tab/>
            </w:r>
            <w:r>
              <w:rPr>
                <w:noProof/>
                <w:webHidden/>
              </w:rPr>
              <w:fldChar w:fldCharType="begin"/>
            </w:r>
            <w:r>
              <w:rPr>
                <w:noProof/>
                <w:webHidden/>
              </w:rPr>
              <w:instrText xml:space="preserve"> PAGEREF _Toc197506904 \h </w:instrText>
            </w:r>
            <w:r>
              <w:rPr>
                <w:noProof/>
                <w:webHidden/>
              </w:rPr>
            </w:r>
            <w:r>
              <w:rPr>
                <w:noProof/>
                <w:webHidden/>
              </w:rPr>
              <w:fldChar w:fldCharType="separate"/>
            </w:r>
            <w:r>
              <w:rPr>
                <w:noProof/>
                <w:webHidden/>
              </w:rPr>
              <w:t>3</w:t>
            </w:r>
            <w:r>
              <w:rPr>
                <w:noProof/>
                <w:webHidden/>
              </w:rPr>
              <w:fldChar w:fldCharType="end"/>
            </w:r>
          </w:hyperlink>
        </w:p>
        <w:p w14:paraId="750840A8" w14:textId="6C51976E" w:rsidR="006B4075" w:rsidRDefault="006B4075">
          <w:pPr>
            <w:pStyle w:val="TOC1"/>
            <w:tabs>
              <w:tab w:val="right" w:leader="dot" w:pos="11260"/>
            </w:tabs>
            <w:rPr>
              <w:rFonts w:asciiTheme="minorHAnsi" w:eastAsiaTheme="minorEastAsia" w:hAnsiTheme="minorHAnsi" w:cstheme="minorBidi"/>
              <w:noProof/>
              <w:szCs w:val="22"/>
            </w:rPr>
          </w:pPr>
          <w:hyperlink w:anchor="_Toc197506905" w:history="1">
            <w:r w:rsidRPr="00EB700C">
              <w:rPr>
                <w:rStyle w:val="Hyperlink"/>
                <w:noProof/>
                <w:lang w:bidi="en-GB"/>
              </w:rPr>
              <w:t>1 What is alternative provision (AP)?</w:t>
            </w:r>
            <w:r>
              <w:rPr>
                <w:noProof/>
                <w:webHidden/>
              </w:rPr>
              <w:tab/>
            </w:r>
            <w:r>
              <w:rPr>
                <w:noProof/>
                <w:webHidden/>
              </w:rPr>
              <w:fldChar w:fldCharType="begin"/>
            </w:r>
            <w:r>
              <w:rPr>
                <w:noProof/>
                <w:webHidden/>
              </w:rPr>
              <w:instrText xml:space="preserve"> PAGEREF _Toc197506905 \h </w:instrText>
            </w:r>
            <w:r>
              <w:rPr>
                <w:noProof/>
                <w:webHidden/>
              </w:rPr>
            </w:r>
            <w:r>
              <w:rPr>
                <w:noProof/>
                <w:webHidden/>
              </w:rPr>
              <w:fldChar w:fldCharType="separate"/>
            </w:r>
            <w:r>
              <w:rPr>
                <w:noProof/>
                <w:webHidden/>
              </w:rPr>
              <w:t>3</w:t>
            </w:r>
            <w:r>
              <w:rPr>
                <w:noProof/>
                <w:webHidden/>
              </w:rPr>
              <w:fldChar w:fldCharType="end"/>
            </w:r>
          </w:hyperlink>
        </w:p>
        <w:p w14:paraId="58A55E3F" w14:textId="38ECC2B4" w:rsidR="006B4075" w:rsidRDefault="006B4075">
          <w:pPr>
            <w:pStyle w:val="TOC1"/>
            <w:tabs>
              <w:tab w:val="right" w:leader="dot" w:pos="11260"/>
            </w:tabs>
            <w:rPr>
              <w:rFonts w:asciiTheme="minorHAnsi" w:eastAsiaTheme="minorEastAsia" w:hAnsiTheme="minorHAnsi" w:cstheme="minorBidi"/>
              <w:noProof/>
              <w:szCs w:val="22"/>
            </w:rPr>
          </w:pPr>
          <w:hyperlink w:anchor="_Toc197506906" w:history="1">
            <w:r w:rsidRPr="00EB700C">
              <w:rPr>
                <w:rStyle w:val="Hyperlink"/>
                <w:noProof/>
              </w:rPr>
              <w:t>2 National Context</w:t>
            </w:r>
            <w:r>
              <w:rPr>
                <w:noProof/>
                <w:webHidden/>
              </w:rPr>
              <w:tab/>
            </w:r>
            <w:r>
              <w:rPr>
                <w:noProof/>
                <w:webHidden/>
              </w:rPr>
              <w:fldChar w:fldCharType="begin"/>
            </w:r>
            <w:r>
              <w:rPr>
                <w:noProof/>
                <w:webHidden/>
              </w:rPr>
              <w:instrText xml:space="preserve"> PAGEREF _Toc197506906 \h </w:instrText>
            </w:r>
            <w:r>
              <w:rPr>
                <w:noProof/>
                <w:webHidden/>
              </w:rPr>
            </w:r>
            <w:r>
              <w:rPr>
                <w:noProof/>
                <w:webHidden/>
              </w:rPr>
              <w:fldChar w:fldCharType="separate"/>
            </w:r>
            <w:r>
              <w:rPr>
                <w:noProof/>
                <w:webHidden/>
              </w:rPr>
              <w:t>3</w:t>
            </w:r>
            <w:r>
              <w:rPr>
                <w:noProof/>
                <w:webHidden/>
              </w:rPr>
              <w:fldChar w:fldCharType="end"/>
            </w:r>
          </w:hyperlink>
        </w:p>
        <w:p w14:paraId="5B1D8268" w14:textId="646C89F2" w:rsidR="006B4075" w:rsidRDefault="006B4075">
          <w:pPr>
            <w:pStyle w:val="TOC2"/>
            <w:tabs>
              <w:tab w:val="right" w:leader="dot" w:pos="11260"/>
            </w:tabs>
            <w:rPr>
              <w:rFonts w:asciiTheme="minorHAnsi" w:eastAsiaTheme="minorEastAsia" w:hAnsiTheme="minorHAnsi" w:cstheme="minorBidi"/>
              <w:noProof/>
              <w:szCs w:val="22"/>
            </w:rPr>
          </w:pPr>
          <w:hyperlink w:anchor="_Toc197506907" w:history="1">
            <w:r w:rsidRPr="00EB700C">
              <w:rPr>
                <w:rStyle w:val="Hyperlink"/>
                <w:noProof/>
                <w:lang w:bidi="en-GB"/>
              </w:rPr>
              <w:t>Pg. 47 Alternative Provision</w:t>
            </w:r>
            <w:r>
              <w:rPr>
                <w:noProof/>
                <w:webHidden/>
              </w:rPr>
              <w:tab/>
            </w:r>
            <w:r>
              <w:rPr>
                <w:noProof/>
                <w:webHidden/>
              </w:rPr>
              <w:fldChar w:fldCharType="begin"/>
            </w:r>
            <w:r>
              <w:rPr>
                <w:noProof/>
                <w:webHidden/>
              </w:rPr>
              <w:instrText xml:space="preserve"> PAGEREF _Toc197506907 \h </w:instrText>
            </w:r>
            <w:r>
              <w:rPr>
                <w:noProof/>
                <w:webHidden/>
              </w:rPr>
            </w:r>
            <w:r>
              <w:rPr>
                <w:noProof/>
                <w:webHidden/>
              </w:rPr>
              <w:fldChar w:fldCharType="separate"/>
            </w:r>
            <w:r>
              <w:rPr>
                <w:noProof/>
                <w:webHidden/>
              </w:rPr>
              <w:t>4</w:t>
            </w:r>
            <w:r>
              <w:rPr>
                <w:noProof/>
                <w:webHidden/>
              </w:rPr>
              <w:fldChar w:fldCharType="end"/>
            </w:r>
          </w:hyperlink>
        </w:p>
        <w:p w14:paraId="1620C2B9" w14:textId="15358506" w:rsidR="006B4075" w:rsidRDefault="006B4075">
          <w:pPr>
            <w:pStyle w:val="TOC2"/>
            <w:tabs>
              <w:tab w:val="right" w:leader="dot" w:pos="11260"/>
            </w:tabs>
            <w:rPr>
              <w:rFonts w:asciiTheme="minorHAnsi" w:eastAsiaTheme="minorEastAsia" w:hAnsiTheme="minorHAnsi" w:cstheme="minorBidi"/>
              <w:noProof/>
              <w:szCs w:val="22"/>
            </w:rPr>
          </w:pPr>
          <w:hyperlink w:anchor="_Toc197506908" w:history="1">
            <w:r w:rsidRPr="00EB700C">
              <w:rPr>
                <w:rStyle w:val="Hyperlink"/>
                <w:noProof/>
                <w:lang w:bidi="en-GB"/>
              </w:rPr>
              <w:t>Pg. 86 Alternative provision</w:t>
            </w:r>
            <w:r>
              <w:rPr>
                <w:noProof/>
                <w:webHidden/>
              </w:rPr>
              <w:tab/>
            </w:r>
            <w:r>
              <w:rPr>
                <w:noProof/>
                <w:webHidden/>
              </w:rPr>
              <w:fldChar w:fldCharType="begin"/>
            </w:r>
            <w:r>
              <w:rPr>
                <w:noProof/>
                <w:webHidden/>
              </w:rPr>
              <w:instrText xml:space="preserve"> PAGEREF _Toc197506908 \h </w:instrText>
            </w:r>
            <w:r>
              <w:rPr>
                <w:noProof/>
                <w:webHidden/>
              </w:rPr>
            </w:r>
            <w:r>
              <w:rPr>
                <w:noProof/>
                <w:webHidden/>
              </w:rPr>
              <w:fldChar w:fldCharType="separate"/>
            </w:r>
            <w:r>
              <w:rPr>
                <w:noProof/>
                <w:webHidden/>
              </w:rPr>
              <w:t>4</w:t>
            </w:r>
            <w:r>
              <w:rPr>
                <w:noProof/>
                <w:webHidden/>
              </w:rPr>
              <w:fldChar w:fldCharType="end"/>
            </w:r>
          </w:hyperlink>
        </w:p>
        <w:p w14:paraId="01DAFF1D" w14:textId="606FF111" w:rsidR="006B4075" w:rsidRDefault="006B4075">
          <w:pPr>
            <w:pStyle w:val="TOC1"/>
            <w:tabs>
              <w:tab w:val="right" w:leader="dot" w:pos="11260"/>
            </w:tabs>
            <w:rPr>
              <w:rFonts w:asciiTheme="minorHAnsi" w:eastAsiaTheme="minorEastAsia" w:hAnsiTheme="minorHAnsi" w:cstheme="minorBidi"/>
              <w:noProof/>
              <w:szCs w:val="22"/>
            </w:rPr>
          </w:pPr>
          <w:hyperlink w:anchor="_Toc197506909" w:history="1">
            <w:r w:rsidRPr="00EB700C">
              <w:rPr>
                <w:rStyle w:val="Hyperlink"/>
                <w:noProof/>
              </w:rPr>
              <w:t>3 Local Context</w:t>
            </w:r>
            <w:r>
              <w:rPr>
                <w:noProof/>
                <w:webHidden/>
              </w:rPr>
              <w:tab/>
            </w:r>
            <w:r>
              <w:rPr>
                <w:noProof/>
                <w:webHidden/>
              </w:rPr>
              <w:fldChar w:fldCharType="begin"/>
            </w:r>
            <w:r>
              <w:rPr>
                <w:noProof/>
                <w:webHidden/>
              </w:rPr>
              <w:instrText xml:space="preserve"> PAGEREF _Toc197506909 \h </w:instrText>
            </w:r>
            <w:r>
              <w:rPr>
                <w:noProof/>
                <w:webHidden/>
              </w:rPr>
            </w:r>
            <w:r>
              <w:rPr>
                <w:noProof/>
                <w:webHidden/>
              </w:rPr>
              <w:fldChar w:fldCharType="separate"/>
            </w:r>
            <w:r>
              <w:rPr>
                <w:noProof/>
                <w:webHidden/>
              </w:rPr>
              <w:t>4</w:t>
            </w:r>
            <w:r>
              <w:rPr>
                <w:noProof/>
                <w:webHidden/>
              </w:rPr>
              <w:fldChar w:fldCharType="end"/>
            </w:r>
          </w:hyperlink>
        </w:p>
        <w:p w14:paraId="4979AF16" w14:textId="55004CF9" w:rsidR="006B4075" w:rsidRDefault="006B4075">
          <w:pPr>
            <w:pStyle w:val="TOC2"/>
            <w:tabs>
              <w:tab w:val="right" w:leader="dot" w:pos="11260"/>
            </w:tabs>
            <w:rPr>
              <w:rFonts w:asciiTheme="minorHAnsi" w:eastAsiaTheme="minorEastAsia" w:hAnsiTheme="minorHAnsi" w:cstheme="minorBidi"/>
              <w:noProof/>
              <w:szCs w:val="22"/>
            </w:rPr>
          </w:pPr>
          <w:hyperlink w:anchor="_Toc197506910" w:history="1">
            <w:r w:rsidRPr="00EB700C">
              <w:rPr>
                <w:rStyle w:val="Hyperlink"/>
                <w:noProof/>
                <w:lang w:bidi="en-GB"/>
              </w:rPr>
              <w:t>Local Authority Statutory duties</w:t>
            </w:r>
            <w:r>
              <w:rPr>
                <w:noProof/>
                <w:webHidden/>
              </w:rPr>
              <w:tab/>
            </w:r>
            <w:r>
              <w:rPr>
                <w:noProof/>
                <w:webHidden/>
              </w:rPr>
              <w:fldChar w:fldCharType="begin"/>
            </w:r>
            <w:r>
              <w:rPr>
                <w:noProof/>
                <w:webHidden/>
              </w:rPr>
              <w:instrText xml:space="preserve"> PAGEREF _Toc197506910 \h </w:instrText>
            </w:r>
            <w:r>
              <w:rPr>
                <w:noProof/>
                <w:webHidden/>
              </w:rPr>
            </w:r>
            <w:r>
              <w:rPr>
                <w:noProof/>
                <w:webHidden/>
              </w:rPr>
              <w:fldChar w:fldCharType="separate"/>
            </w:r>
            <w:r>
              <w:rPr>
                <w:noProof/>
                <w:webHidden/>
              </w:rPr>
              <w:t>5</w:t>
            </w:r>
            <w:r>
              <w:rPr>
                <w:noProof/>
                <w:webHidden/>
              </w:rPr>
              <w:fldChar w:fldCharType="end"/>
            </w:r>
          </w:hyperlink>
        </w:p>
        <w:p w14:paraId="5C3EB7A2" w14:textId="635E8ACF" w:rsidR="006B4075" w:rsidRDefault="006B4075">
          <w:pPr>
            <w:pStyle w:val="TOC2"/>
            <w:tabs>
              <w:tab w:val="right" w:leader="dot" w:pos="11260"/>
            </w:tabs>
            <w:rPr>
              <w:rFonts w:asciiTheme="minorHAnsi" w:eastAsiaTheme="minorEastAsia" w:hAnsiTheme="minorHAnsi" w:cstheme="minorBidi"/>
              <w:noProof/>
              <w:szCs w:val="22"/>
            </w:rPr>
          </w:pPr>
          <w:hyperlink w:anchor="_Toc197506911" w:history="1">
            <w:r w:rsidRPr="00EB700C">
              <w:rPr>
                <w:rStyle w:val="Hyperlink"/>
                <w:noProof/>
                <w:lang w:bidi="en-GB"/>
              </w:rPr>
              <w:t>Routes into Alternative Provision and funding responsibilities</w:t>
            </w:r>
            <w:r>
              <w:rPr>
                <w:noProof/>
                <w:webHidden/>
              </w:rPr>
              <w:tab/>
            </w:r>
            <w:r>
              <w:rPr>
                <w:noProof/>
                <w:webHidden/>
              </w:rPr>
              <w:fldChar w:fldCharType="begin"/>
            </w:r>
            <w:r>
              <w:rPr>
                <w:noProof/>
                <w:webHidden/>
              </w:rPr>
              <w:instrText xml:space="preserve"> PAGEREF _Toc197506911 \h </w:instrText>
            </w:r>
            <w:r>
              <w:rPr>
                <w:noProof/>
                <w:webHidden/>
              </w:rPr>
            </w:r>
            <w:r>
              <w:rPr>
                <w:noProof/>
                <w:webHidden/>
              </w:rPr>
              <w:fldChar w:fldCharType="separate"/>
            </w:r>
            <w:r>
              <w:rPr>
                <w:noProof/>
                <w:webHidden/>
              </w:rPr>
              <w:t>6</w:t>
            </w:r>
            <w:r>
              <w:rPr>
                <w:noProof/>
                <w:webHidden/>
              </w:rPr>
              <w:fldChar w:fldCharType="end"/>
            </w:r>
          </w:hyperlink>
        </w:p>
        <w:p w14:paraId="6D17AE1F" w14:textId="23A91F24" w:rsidR="006B4075" w:rsidRDefault="006B4075">
          <w:pPr>
            <w:pStyle w:val="TOC3"/>
            <w:tabs>
              <w:tab w:val="right" w:leader="dot" w:pos="11260"/>
            </w:tabs>
            <w:rPr>
              <w:rFonts w:asciiTheme="minorHAnsi" w:eastAsiaTheme="minorEastAsia" w:hAnsiTheme="minorHAnsi" w:cstheme="minorBidi"/>
              <w:noProof/>
              <w:szCs w:val="22"/>
            </w:rPr>
          </w:pPr>
          <w:hyperlink w:anchor="_Toc197506912" w:history="1">
            <w:r w:rsidRPr="00EB700C">
              <w:rPr>
                <w:rStyle w:val="Hyperlink"/>
                <w:noProof/>
              </w:rPr>
              <w:t>Alternative provision and places</w:t>
            </w:r>
            <w:r>
              <w:rPr>
                <w:noProof/>
                <w:webHidden/>
              </w:rPr>
              <w:tab/>
            </w:r>
            <w:r>
              <w:rPr>
                <w:noProof/>
                <w:webHidden/>
              </w:rPr>
              <w:fldChar w:fldCharType="begin"/>
            </w:r>
            <w:r>
              <w:rPr>
                <w:noProof/>
                <w:webHidden/>
              </w:rPr>
              <w:instrText xml:space="preserve"> PAGEREF _Toc197506912 \h </w:instrText>
            </w:r>
            <w:r>
              <w:rPr>
                <w:noProof/>
                <w:webHidden/>
              </w:rPr>
            </w:r>
            <w:r>
              <w:rPr>
                <w:noProof/>
                <w:webHidden/>
              </w:rPr>
              <w:fldChar w:fldCharType="separate"/>
            </w:r>
            <w:r>
              <w:rPr>
                <w:noProof/>
                <w:webHidden/>
              </w:rPr>
              <w:t>6</w:t>
            </w:r>
            <w:r>
              <w:rPr>
                <w:noProof/>
                <w:webHidden/>
              </w:rPr>
              <w:fldChar w:fldCharType="end"/>
            </w:r>
          </w:hyperlink>
        </w:p>
        <w:p w14:paraId="407FC729" w14:textId="49601472" w:rsidR="006B4075" w:rsidRDefault="006B4075">
          <w:pPr>
            <w:pStyle w:val="TOC3"/>
            <w:tabs>
              <w:tab w:val="right" w:leader="dot" w:pos="11260"/>
            </w:tabs>
            <w:rPr>
              <w:rFonts w:asciiTheme="minorHAnsi" w:eastAsiaTheme="minorEastAsia" w:hAnsiTheme="minorHAnsi" w:cstheme="minorBidi"/>
              <w:noProof/>
              <w:szCs w:val="22"/>
            </w:rPr>
          </w:pPr>
          <w:hyperlink w:anchor="_Toc197506913" w:history="1">
            <w:r w:rsidRPr="00EB700C">
              <w:rPr>
                <w:rStyle w:val="Hyperlink"/>
                <w:noProof/>
              </w:rPr>
              <w:t>Funding for alternative provision</w:t>
            </w:r>
            <w:r>
              <w:rPr>
                <w:noProof/>
                <w:webHidden/>
              </w:rPr>
              <w:tab/>
            </w:r>
            <w:r>
              <w:rPr>
                <w:noProof/>
                <w:webHidden/>
              </w:rPr>
              <w:fldChar w:fldCharType="begin"/>
            </w:r>
            <w:r>
              <w:rPr>
                <w:noProof/>
                <w:webHidden/>
              </w:rPr>
              <w:instrText xml:space="preserve"> PAGEREF _Toc197506913 \h </w:instrText>
            </w:r>
            <w:r>
              <w:rPr>
                <w:noProof/>
                <w:webHidden/>
              </w:rPr>
            </w:r>
            <w:r>
              <w:rPr>
                <w:noProof/>
                <w:webHidden/>
              </w:rPr>
              <w:fldChar w:fldCharType="separate"/>
            </w:r>
            <w:r>
              <w:rPr>
                <w:noProof/>
                <w:webHidden/>
              </w:rPr>
              <w:t>7</w:t>
            </w:r>
            <w:r>
              <w:rPr>
                <w:noProof/>
                <w:webHidden/>
              </w:rPr>
              <w:fldChar w:fldCharType="end"/>
            </w:r>
          </w:hyperlink>
        </w:p>
        <w:p w14:paraId="010838F4" w14:textId="66648A2B" w:rsidR="006B4075" w:rsidRDefault="006B4075">
          <w:pPr>
            <w:pStyle w:val="TOC3"/>
            <w:tabs>
              <w:tab w:val="right" w:leader="dot" w:pos="11260"/>
            </w:tabs>
            <w:rPr>
              <w:rFonts w:asciiTheme="minorHAnsi" w:eastAsiaTheme="minorEastAsia" w:hAnsiTheme="minorHAnsi" w:cstheme="minorBidi"/>
              <w:noProof/>
              <w:szCs w:val="22"/>
            </w:rPr>
          </w:pPr>
          <w:hyperlink w:anchor="_Toc197506914" w:history="1">
            <w:r w:rsidRPr="00EB700C">
              <w:rPr>
                <w:rStyle w:val="Hyperlink"/>
                <w:noProof/>
              </w:rPr>
              <w:t>Alternative Provision in Herefordshire</w:t>
            </w:r>
            <w:r>
              <w:rPr>
                <w:noProof/>
                <w:webHidden/>
              </w:rPr>
              <w:tab/>
            </w:r>
            <w:r>
              <w:rPr>
                <w:noProof/>
                <w:webHidden/>
              </w:rPr>
              <w:fldChar w:fldCharType="begin"/>
            </w:r>
            <w:r>
              <w:rPr>
                <w:noProof/>
                <w:webHidden/>
              </w:rPr>
              <w:instrText xml:space="preserve"> PAGEREF _Toc197506914 \h </w:instrText>
            </w:r>
            <w:r>
              <w:rPr>
                <w:noProof/>
                <w:webHidden/>
              </w:rPr>
            </w:r>
            <w:r>
              <w:rPr>
                <w:noProof/>
                <w:webHidden/>
              </w:rPr>
              <w:fldChar w:fldCharType="separate"/>
            </w:r>
            <w:r>
              <w:rPr>
                <w:noProof/>
                <w:webHidden/>
              </w:rPr>
              <w:t>7</w:t>
            </w:r>
            <w:r>
              <w:rPr>
                <w:noProof/>
                <w:webHidden/>
              </w:rPr>
              <w:fldChar w:fldCharType="end"/>
            </w:r>
          </w:hyperlink>
        </w:p>
        <w:p w14:paraId="337D9FF0" w14:textId="062064FC" w:rsidR="006B4075" w:rsidRDefault="006B4075">
          <w:pPr>
            <w:pStyle w:val="TOC3"/>
            <w:tabs>
              <w:tab w:val="right" w:leader="dot" w:pos="11260"/>
            </w:tabs>
            <w:rPr>
              <w:rFonts w:asciiTheme="minorHAnsi" w:eastAsiaTheme="minorEastAsia" w:hAnsiTheme="minorHAnsi" w:cstheme="minorBidi"/>
              <w:noProof/>
              <w:szCs w:val="22"/>
            </w:rPr>
          </w:pPr>
          <w:hyperlink w:anchor="_Toc197506915" w:history="1">
            <w:r w:rsidRPr="00EB700C">
              <w:rPr>
                <w:rStyle w:val="Hyperlink"/>
                <w:noProof/>
                <w:lang w:bidi="en-GB"/>
              </w:rPr>
              <w:t>Herefordshire Pupil Referral Service (HPRS)</w:t>
            </w:r>
            <w:r>
              <w:rPr>
                <w:noProof/>
                <w:webHidden/>
              </w:rPr>
              <w:tab/>
            </w:r>
            <w:r>
              <w:rPr>
                <w:noProof/>
                <w:webHidden/>
              </w:rPr>
              <w:fldChar w:fldCharType="begin"/>
            </w:r>
            <w:r>
              <w:rPr>
                <w:noProof/>
                <w:webHidden/>
              </w:rPr>
              <w:instrText xml:space="preserve"> PAGEREF _Toc197506915 \h </w:instrText>
            </w:r>
            <w:r>
              <w:rPr>
                <w:noProof/>
                <w:webHidden/>
              </w:rPr>
            </w:r>
            <w:r>
              <w:rPr>
                <w:noProof/>
                <w:webHidden/>
              </w:rPr>
              <w:fldChar w:fldCharType="separate"/>
            </w:r>
            <w:r>
              <w:rPr>
                <w:noProof/>
                <w:webHidden/>
              </w:rPr>
              <w:t>7</w:t>
            </w:r>
            <w:r>
              <w:rPr>
                <w:noProof/>
                <w:webHidden/>
              </w:rPr>
              <w:fldChar w:fldCharType="end"/>
            </w:r>
          </w:hyperlink>
        </w:p>
        <w:p w14:paraId="756D95F9" w14:textId="6191ACF2" w:rsidR="006B4075" w:rsidRDefault="006B4075">
          <w:pPr>
            <w:pStyle w:val="TOC3"/>
            <w:tabs>
              <w:tab w:val="right" w:leader="dot" w:pos="11260"/>
            </w:tabs>
            <w:rPr>
              <w:rFonts w:asciiTheme="minorHAnsi" w:eastAsiaTheme="minorEastAsia" w:hAnsiTheme="minorHAnsi" w:cstheme="minorBidi"/>
              <w:noProof/>
              <w:szCs w:val="22"/>
            </w:rPr>
          </w:pPr>
          <w:hyperlink w:anchor="_Toc197506916" w:history="1">
            <w:r w:rsidRPr="00EB700C">
              <w:rPr>
                <w:rStyle w:val="Hyperlink"/>
                <w:noProof/>
              </w:rPr>
              <w:t>HPRS – Position statement 2023 – reviewed June 2024</w:t>
            </w:r>
            <w:r>
              <w:rPr>
                <w:noProof/>
                <w:webHidden/>
              </w:rPr>
              <w:tab/>
            </w:r>
            <w:r>
              <w:rPr>
                <w:noProof/>
                <w:webHidden/>
              </w:rPr>
              <w:fldChar w:fldCharType="begin"/>
            </w:r>
            <w:r>
              <w:rPr>
                <w:noProof/>
                <w:webHidden/>
              </w:rPr>
              <w:instrText xml:space="preserve"> PAGEREF _Toc197506916 \h </w:instrText>
            </w:r>
            <w:r>
              <w:rPr>
                <w:noProof/>
                <w:webHidden/>
              </w:rPr>
            </w:r>
            <w:r>
              <w:rPr>
                <w:noProof/>
                <w:webHidden/>
              </w:rPr>
              <w:fldChar w:fldCharType="separate"/>
            </w:r>
            <w:r>
              <w:rPr>
                <w:noProof/>
                <w:webHidden/>
              </w:rPr>
              <w:t>7</w:t>
            </w:r>
            <w:r>
              <w:rPr>
                <w:noProof/>
                <w:webHidden/>
              </w:rPr>
              <w:fldChar w:fldCharType="end"/>
            </w:r>
          </w:hyperlink>
        </w:p>
        <w:p w14:paraId="081F6A5C" w14:textId="53816114" w:rsidR="006B4075" w:rsidRDefault="006B4075">
          <w:pPr>
            <w:pStyle w:val="TOC3"/>
            <w:tabs>
              <w:tab w:val="right" w:leader="dot" w:pos="11260"/>
            </w:tabs>
            <w:rPr>
              <w:rFonts w:asciiTheme="minorHAnsi" w:eastAsiaTheme="minorEastAsia" w:hAnsiTheme="minorHAnsi" w:cstheme="minorBidi"/>
              <w:noProof/>
              <w:szCs w:val="22"/>
            </w:rPr>
          </w:pPr>
          <w:hyperlink w:anchor="_Toc197506917" w:history="1">
            <w:r w:rsidRPr="00EB700C">
              <w:rPr>
                <w:rStyle w:val="Hyperlink"/>
                <w:noProof/>
              </w:rPr>
              <w:t>Other provision/support</w:t>
            </w:r>
            <w:r>
              <w:rPr>
                <w:noProof/>
                <w:webHidden/>
              </w:rPr>
              <w:tab/>
            </w:r>
            <w:r>
              <w:rPr>
                <w:noProof/>
                <w:webHidden/>
              </w:rPr>
              <w:fldChar w:fldCharType="begin"/>
            </w:r>
            <w:r>
              <w:rPr>
                <w:noProof/>
                <w:webHidden/>
              </w:rPr>
              <w:instrText xml:space="preserve"> PAGEREF _Toc197506917 \h </w:instrText>
            </w:r>
            <w:r>
              <w:rPr>
                <w:noProof/>
                <w:webHidden/>
              </w:rPr>
            </w:r>
            <w:r>
              <w:rPr>
                <w:noProof/>
                <w:webHidden/>
              </w:rPr>
              <w:fldChar w:fldCharType="separate"/>
            </w:r>
            <w:r>
              <w:rPr>
                <w:noProof/>
                <w:webHidden/>
              </w:rPr>
              <w:t>8</w:t>
            </w:r>
            <w:r>
              <w:rPr>
                <w:noProof/>
                <w:webHidden/>
              </w:rPr>
              <w:fldChar w:fldCharType="end"/>
            </w:r>
          </w:hyperlink>
        </w:p>
        <w:p w14:paraId="383FEEB7" w14:textId="354A3100" w:rsidR="006B4075" w:rsidRDefault="006B4075">
          <w:pPr>
            <w:pStyle w:val="TOC3"/>
            <w:tabs>
              <w:tab w:val="right" w:leader="dot" w:pos="11260"/>
            </w:tabs>
            <w:rPr>
              <w:rFonts w:asciiTheme="minorHAnsi" w:eastAsiaTheme="minorEastAsia" w:hAnsiTheme="minorHAnsi" w:cstheme="minorBidi"/>
              <w:noProof/>
              <w:szCs w:val="22"/>
            </w:rPr>
          </w:pPr>
          <w:hyperlink w:anchor="_Toc197506918" w:history="1">
            <w:r w:rsidRPr="00EB700C">
              <w:rPr>
                <w:rStyle w:val="Hyperlink"/>
                <w:noProof/>
              </w:rPr>
              <w:t>Key action points/ deliverables</w:t>
            </w:r>
            <w:r>
              <w:rPr>
                <w:noProof/>
                <w:webHidden/>
              </w:rPr>
              <w:tab/>
            </w:r>
            <w:r>
              <w:rPr>
                <w:noProof/>
                <w:webHidden/>
              </w:rPr>
              <w:fldChar w:fldCharType="begin"/>
            </w:r>
            <w:r>
              <w:rPr>
                <w:noProof/>
                <w:webHidden/>
              </w:rPr>
              <w:instrText xml:space="preserve"> PAGEREF _Toc197506918 \h </w:instrText>
            </w:r>
            <w:r>
              <w:rPr>
                <w:noProof/>
                <w:webHidden/>
              </w:rPr>
            </w:r>
            <w:r>
              <w:rPr>
                <w:noProof/>
                <w:webHidden/>
              </w:rPr>
              <w:fldChar w:fldCharType="separate"/>
            </w:r>
            <w:r>
              <w:rPr>
                <w:noProof/>
                <w:webHidden/>
              </w:rPr>
              <w:t>8</w:t>
            </w:r>
            <w:r>
              <w:rPr>
                <w:noProof/>
                <w:webHidden/>
              </w:rPr>
              <w:fldChar w:fldCharType="end"/>
            </w:r>
          </w:hyperlink>
        </w:p>
        <w:p w14:paraId="07B5AB2A" w14:textId="738DD763" w:rsidR="006B4075" w:rsidRDefault="006B4075">
          <w:pPr>
            <w:pStyle w:val="TOC3"/>
            <w:tabs>
              <w:tab w:val="right" w:leader="dot" w:pos="11260"/>
            </w:tabs>
            <w:rPr>
              <w:rFonts w:asciiTheme="minorHAnsi" w:eastAsiaTheme="minorEastAsia" w:hAnsiTheme="minorHAnsi" w:cstheme="minorBidi"/>
              <w:noProof/>
              <w:szCs w:val="22"/>
            </w:rPr>
          </w:pPr>
          <w:hyperlink w:anchor="_Toc197506919" w:history="1">
            <w:r w:rsidRPr="00EB700C">
              <w:rPr>
                <w:rStyle w:val="Hyperlink"/>
                <w:noProof/>
              </w:rPr>
              <w:t>Relevant Legislation/Guidance</w:t>
            </w:r>
            <w:r>
              <w:rPr>
                <w:noProof/>
                <w:webHidden/>
              </w:rPr>
              <w:tab/>
            </w:r>
            <w:r>
              <w:rPr>
                <w:noProof/>
                <w:webHidden/>
              </w:rPr>
              <w:fldChar w:fldCharType="begin"/>
            </w:r>
            <w:r>
              <w:rPr>
                <w:noProof/>
                <w:webHidden/>
              </w:rPr>
              <w:instrText xml:space="preserve"> PAGEREF _Toc197506919 \h </w:instrText>
            </w:r>
            <w:r>
              <w:rPr>
                <w:noProof/>
                <w:webHidden/>
              </w:rPr>
            </w:r>
            <w:r>
              <w:rPr>
                <w:noProof/>
                <w:webHidden/>
              </w:rPr>
              <w:fldChar w:fldCharType="separate"/>
            </w:r>
            <w:r>
              <w:rPr>
                <w:noProof/>
                <w:webHidden/>
              </w:rPr>
              <w:t>9</w:t>
            </w:r>
            <w:r>
              <w:rPr>
                <w:noProof/>
                <w:webHidden/>
              </w:rPr>
              <w:fldChar w:fldCharType="end"/>
            </w:r>
          </w:hyperlink>
        </w:p>
        <w:p w14:paraId="32F29078" w14:textId="21176839" w:rsidR="006B4075" w:rsidRDefault="006B4075">
          <w:r>
            <w:rPr>
              <w:b/>
              <w:bCs/>
              <w:noProof/>
            </w:rPr>
            <w:fldChar w:fldCharType="end"/>
          </w:r>
        </w:p>
      </w:sdtContent>
    </w:sdt>
    <w:p w14:paraId="1A994AA3" w14:textId="15BAA7D2" w:rsidR="006B4075" w:rsidRDefault="006B4075" w:rsidP="00656E54">
      <w:pPr>
        <w:pStyle w:val="Default"/>
        <w:ind w:right="780"/>
        <w:rPr>
          <w:b/>
          <w:bCs/>
          <w:sz w:val="28"/>
          <w:szCs w:val="28"/>
        </w:rPr>
      </w:pPr>
    </w:p>
    <w:p w14:paraId="3F4707A0" w14:textId="77777777" w:rsidR="006B4075" w:rsidRDefault="006B4075" w:rsidP="00656E54">
      <w:pPr>
        <w:pStyle w:val="Default"/>
        <w:ind w:right="780"/>
        <w:rPr>
          <w:b/>
          <w:bCs/>
          <w:sz w:val="28"/>
          <w:szCs w:val="28"/>
        </w:rPr>
      </w:pPr>
    </w:p>
    <w:p w14:paraId="4918A147" w14:textId="77777777" w:rsidR="006B4075" w:rsidRDefault="006B4075" w:rsidP="00656E54">
      <w:pPr>
        <w:pStyle w:val="Default"/>
        <w:ind w:right="780"/>
        <w:rPr>
          <w:b/>
          <w:bCs/>
          <w:sz w:val="28"/>
          <w:szCs w:val="28"/>
        </w:rPr>
      </w:pPr>
    </w:p>
    <w:p w14:paraId="23185763" w14:textId="77777777" w:rsidR="006B4075" w:rsidRDefault="006B4075" w:rsidP="00656E54">
      <w:pPr>
        <w:pStyle w:val="Default"/>
        <w:ind w:right="780"/>
        <w:rPr>
          <w:b/>
          <w:bCs/>
          <w:sz w:val="28"/>
          <w:szCs w:val="28"/>
        </w:rPr>
      </w:pPr>
    </w:p>
    <w:p w14:paraId="7A500EC5" w14:textId="77777777" w:rsidR="006B4075" w:rsidRDefault="006B4075" w:rsidP="00656E54">
      <w:pPr>
        <w:pStyle w:val="Default"/>
        <w:ind w:right="780"/>
        <w:rPr>
          <w:b/>
          <w:bCs/>
          <w:sz w:val="28"/>
          <w:szCs w:val="28"/>
        </w:rPr>
      </w:pPr>
    </w:p>
    <w:p w14:paraId="5ED0A335" w14:textId="1A1D080C" w:rsidR="006B4075" w:rsidRDefault="006B4075" w:rsidP="00656E54">
      <w:pPr>
        <w:pStyle w:val="Default"/>
        <w:ind w:right="780"/>
        <w:rPr>
          <w:b/>
          <w:bCs/>
          <w:sz w:val="28"/>
          <w:szCs w:val="28"/>
        </w:rPr>
      </w:pPr>
    </w:p>
    <w:p w14:paraId="66CA76DB" w14:textId="003EA47D" w:rsidR="006B4075" w:rsidRDefault="006B4075" w:rsidP="00656E54">
      <w:pPr>
        <w:pStyle w:val="Default"/>
        <w:ind w:right="780"/>
        <w:rPr>
          <w:b/>
          <w:bCs/>
          <w:sz w:val="28"/>
          <w:szCs w:val="28"/>
        </w:rPr>
      </w:pPr>
    </w:p>
    <w:p w14:paraId="7E390102" w14:textId="6BE8B35E" w:rsidR="006B4075" w:rsidRDefault="006B4075" w:rsidP="00656E54">
      <w:pPr>
        <w:pStyle w:val="Default"/>
        <w:ind w:right="780"/>
        <w:rPr>
          <w:b/>
          <w:bCs/>
          <w:sz w:val="28"/>
          <w:szCs w:val="28"/>
        </w:rPr>
      </w:pPr>
    </w:p>
    <w:p w14:paraId="59361F4C" w14:textId="0C5B9415" w:rsidR="006B4075" w:rsidRDefault="006B4075" w:rsidP="00656E54">
      <w:pPr>
        <w:pStyle w:val="Default"/>
        <w:ind w:right="780"/>
        <w:rPr>
          <w:b/>
          <w:bCs/>
          <w:sz w:val="28"/>
          <w:szCs w:val="28"/>
        </w:rPr>
      </w:pPr>
    </w:p>
    <w:p w14:paraId="304CAB91" w14:textId="085EAD86" w:rsidR="006B4075" w:rsidRDefault="006B4075" w:rsidP="00656E54">
      <w:pPr>
        <w:pStyle w:val="Default"/>
        <w:ind w:right="780"/>
        <w:rPr>
          <w:b/>
          <w:bCs/>
          <w:sz w:val="28"/>
          <w:szCs w:val="28"/>
        </w:rPr>
      </w:pPr>
    </w:p>
    <w:p w14:paraId="3333AAF9" w14:textId="6032DC42" w:rsidR="006B4075" w:rsidRDefault="006B4075" w:rsidP="00656E54">
      <w:pPr>
        <w:pStyle w:val="Default"/>
        <w:ind w:right="780"/>
        <w:rPr>
          <w:b/>
          <w:bCs/>
          <w:sz w:val="28"/>
          <w:szCs w:val="28"/>
        </w:rPr>
      </w:pPr>
    </w:p>
    <w:p w14:paraId="1A38CCF6" w14:textId="101BABF2" w:rsidR="006B4075" w:rsidRDefault="006B4075" w:rsidP="00656E54">
      <w:pPr>
        <w:pStyle w:val="Default"/>
        <w:ind w:right="780"/>
        <w:rPr>
          <w:b/>
          <w:bCs/>
          <w:sz w:val="28"/>
          <w:szCs w:val="28"/>
        </w:rPr>
      </w:pPr>
    </w:p>
    <w:p w14:paraId="10A02DB2" w14:textId="6C05C3C7" w:rsidR="006B4075" w:rsidRDefault="006B4075" w:rsidP="00656E54">
      <w:pPr>
        <w:pStyle w:val="Default"/>
        <w:ind w:right="780"/>
        <w:rPr>
          <w:b/>
          <w:bCs/>
          <w:sz w:val="28"/>
          <w:szCs w:val="28"/>
        </w:rPr>
      </w:pPr>
    </w:p>
    <w:p w14:paraId="34349963" w14:textId="60ED3A9D" w:rsidR="006B4075" w:rsidRDefault="006B4075" w:rsidP="00656E54">
      <w:pPr>
        <w:pStyle w:val="Default"/>
        <w:ind w:right="780"/>
        <w:rPr>
          <w:b/>
          <w:bCs/>
          <w:sz w:val="28"/>
          <w:szCs w:val="28"/>
        </w:rPr>
      </w:pPr>
    </w:p>
    <w:p w14:paraId="07EE761A" w14:textId="6235677C" w:rsidR="006B4075" w:rsidRDefault="006B4075" w:rsidP="00656E54">
      <w:pPr>
        <w:pStyle w:val="Default"/>
        <w:ind w:right="780"/>
        <w:rPr>
          <w:b/>
          <w:bCs/>
          <w:sz w:val="28"/>
          <w:szCs w:val="28"/>
        </w:rPr>
      </w:pPr>
    </w:p>
    <w:p w14:paraId="35CFE80C" w14:textId="0405F2B3" w:rsidR="006B4075" w:rsidRDefault="006B4075" w:rsidP="00656E54">
      <w:pPr>
        <w:pStyle w:val="Default"/>
        <w:ind w:right="780"/>
        <w:rPr>
          <w:b/>
          <w:bCs/>
          <w:sz w:val="28"/>
          <w:szCs w:val="28"/>
        </w:rPr>
      </w:pPr>
    </w:p>
    <w:p w14:paraId="733C6470" w14:textId="6EE60B5B" w:rsidR="006B4075" w:rsidRDefault="006B4075" w:rsidP="00656E54">
      <w:pPr>
        <w:pStyle w:val="Default"/>
        <w:ind w:right="780"/>
        <w:rPr>
          <w:b/>
          <w:bCs/>
          <w:sz w:val="28"/>
          <w:szCs w:val="28"/>
        </w:rPr>
      </w:pPr>
    </w:p>
    <w:p w14:paraId="0A4E86D7" w14:textId="0197A56D" w:rsidR="006B4075" w:rsidRDefault="006B4075" w:rsidP="00656E54">
      <w:pPr>
        <w:pStyle w:val="Default"/>
        <w:ind w:right="780"/>
        <w:rPr>
          <w:b/>
          <w:bCs/>
          <w:sz w:val="28"/>
          <w:szCs w:val="28"/>
        </w:rPr>
      </w:pPr>
    </w:p>
    <w:p w14:paraId="31B1E65E" w14:textId="10DF7E97" w:rsidR="006B4075" w:rsidRDefault="006B4075" w:rsidP="00656E54">
      <w:pPr>
        <w:pStyle w:val="Default"/>
        <w:ind w:right="780"/>
        <w:rPr>
          <w:b/>
          <w:bCs/>
          <w:sz w:val="28"/>
          <w:szCs w:val="28"/>
        </w:rPr>
      </w:pPr>
    </w:p>
    <w:p w14:paraId="69082F0C" w14:textId="7A01CCCA" w:rsidR="006B4075" w:rsidRDefault="006B4075" w:rsidP="00656E54">
      <w:pPr>
        <w:pStyle w:val="Default"/>
        <w:ind w:right="780"/>
        <w:rPr>
          <w:b/>
          <w:bCs/>
          <w:sz w:val="28"/>
          <w:szCs w:val="28"/>
        </w:rPr>
      </w:pPr>
    </w:p>
    <w:p w14:paraId="321A596B" w14:textId="37E53769" w:rsidR="006B4075" w:rsidRDefault="006B4075" w:rsidP="00656E54">
      <w:pPr>
        <w:pStyle w:val="Default"/>
        <w:ind w:right="780"/>
        <w:rPr>
          <w:b/>
          <w:bCs/>
          <w:sz w:val="28"/>
          <w:szCs w:val="28"/>
        </w:rPr>
      </w:pPr>
    </w:p>
    <w:p w14:paraId="6F8B934E" w14:textId="589F0135" w:rsidR="006B4075" w:rsidRDefault="006B4075" w:rsidP="00656E54">
      <w:pPr>
        <w:pStyle w:val="Default"/>
        <w:ind w:right="780"/>
        <w:rPr>
          <w:b/>
          <w:bCs/>
          <w:sz w:val="28"/>
          <w:szCs w:val="28"/>
        </w:rPr>
      </w:pPr>
    </w:p>
    <w:p w14:paraId="66FE416B" w14:textId="432086AE" w:rsidR="006B4075" w:rsidRDefault="006B4075" w:rsidP="00656E54">
      <w:pPr>
        <w:pStyle w:val="Default"/>
        <w:ind w:right="780"/>
        <w:rPr>
          <w:b/>
          <w:bCs/>
          <w:sz w:val="28"/>
          <w:szCs w:val="28"/>
        </w:rPr>
      </w:pPr>
    </w:p>
    <w:p w14:paraId="51DB8EC3" w14:textId="6F00A89A" w:rsidR="006B4075" w:rsidRDefault="006B4075" w:rsidP="00656E54">
      <w:pPr>
        <w:pStyle w:val="Default"/>
        <w:ind w:right="780"/>
        <w:rPr>
          <w:b/>
          <w:bCs/>
          <w:sz w:val="28"/>
          <w:szCs w:val="28"/>
        </w:rPr>
      </w:pPr>
    </w:p>
    <w:p w14:paraId="07510D04" w14:textId="4B6D09AD" w:rsidR="006B4075" w:rsidRDefault="006B4075" w:rsidP="00656E54">
      <w:pPr>
        <w:pStyle w:val="Default"/>
        <w:ind w:right="780"/>
        <w:rPr>
          <w:b/>
          <w:bCs/>
          <w:sz w:val="28"/>
          <w:szCs w:val="28"/>
        </w:rPr>
      </w:pPr>
    </w:p>
    <w:p w14:paraId="311906AB" w14:textId="28219947" w:rsidR="006B4075" w:rsidRDefault="006B4075" w:rsidP="00656E54">
      <w:pPr>
        <w:pStyle w:val="Default"/>
        <w:ind w:right="780"/>
        <w:rPr>
          <w:b/>
          <w:bCs/>
          <w:sz w:val="28"/>
          <w:szCs w:val="28"/>
        </w:rPr>
      </w:pPr>
    </w:p>
    <w:p w14:paraId="2C01F363" w14:textId="61E2F873" w:rsidR="006B4075" w:rsidRDefault="006B4075" w:rsidP="00656E54">
      <w:pPr>
        <w:pStyle w:val="Default"/>
        <w:ind w:right="780"/>
        <w:rPr>
          <w:b/>
          <w:bCs/>
          <w:sz w:val="28"/>
          <w:szCs w:val="28"/>
        </w:rPr>
      </w:pPr>
    </w:p>
    <w:p w14:paraId="5B624BA9" w14:textId="64FD8435" w:rsidR="006B4075" w:rsidRDefault="006B4075" w:rsidP="00656E54">
      <w:pPr>
        <w:pStyle w:val="Default"/>
        <w:ind w:right="780"/>
        <w:rPr>
          <w:b/>
          <w:bCs/>
          <w:sz w:val="28"/>
          <w:szCs w:val="28"/>
        </w:rPr>
      </w:pPr>
    </w:p>
    <w:p w14:paraId="708779BB" w14:textId="1855E5B6" w:rsidR="006B4075" w:rsidRDefault="006B4075" w:rsidP="00656E54">
      <w:pPr>
        <w:pStyle w:val="Default"/>
        <w:ind w:right="780"/>
        <w:rPr>
          <w:b/>
          <w:bCs/>
          <w:sz w:val="28"/>
          <w:szCs w:val="28"/>
        </w:rPr>
      </w:pPr>
    </w:p>
    <w:p w14:paraId="2250FD14" w14:textId="77777777" w:rsidR="006B4075" w:rsidRDefault="006B4075" w:rsidP="00656E54">
      <w:pPr>
        <w:pStyle w:val="Default"/>
        <w:ind w:right="780"/>
        <w:rPr>
          <w:b/>
          <w:bCs/>
          <w:sz w:val="28"/>
          <w:szCs w:val="28"/>
        </w:rPr>
      </w:pPr>
    </w:p>
    <w:p w14:paraId="78E9F629" w14:textId="051218E0" w:rsidR="006540DA" w:rsidRDefault="006540DA" w:rsidP="006B4075">
      <w:pPr>
        <w:pStyle w:val="Heading1"/>
      </w:pPr>
      <w:bookmarkStart w:id="0" w:name="_Toc197506904"/>
      <w:r>
        <w:lastRenderedPageBreak/>
        <w:t>Introduction</w:t>
      </w:r>
      <w:bookmarkEnd w:id="0"/>
      <w:r>
        <w:t xml:space="preserve"> </w:t>
      </w:r>
    </w:p>
    <w:p w14:paraId="42958E09" w14:textId="77777777" w:rsidR="00755480" w:rsidRDefault="00755480" w:rsidP="008620BA">
      <w:pPr>
        <w:pStyle w:val="Default"/>
        <w:ind w:left="567" w:right="780"/>
        <w:rPr>
          <w:sz w:val="28"/>
          <w:szCs w:val="28"/>
        </w:rPr>
      </w:pPr>
    </w:p>
    <w:p w14:paraId="7E76D4F2" w14:textId="77777777" w:rsidR="00BA52F2" w:rsidRDefault="00755480" w:rsidP="00755480">
      <w:pPr>
        <w:pStyle w:val="Default"/>
        <w:ind w:right="780"/>
        <w:rPr>
          <w:color w:val="auto"/>
          <w:sz w:val="23"/>
          <w:szCs w:val="23"/>
        </w:rPr>
      </w:pPr>
      <w:r w:rsidRPr="00BA52F2">
        <w:rPr>
          <w:color w:val="auto"/>
          <w:sz w:val="23"/>
          <w:szCs w:val="23"/>
        </w:rPr>
        <w:t xml:space="preserve">This Alternative Provision Commissioning Strategy for Herefordshire sets out the statutory responsibilities relating to the commissioning of alternative provision places, the range of alternative provision that is available in Herefordshire and the key priorities to improve the range of provision available. </w:t>
      </w:r>
    </w:p>
    <w:p w14:paraId="2FD43469" w14:textId="77777777" w:rsidR="00BA52F2" w:rsidRDefault="00BA52F2" w:rsidP="00755480">
      <w:pPr>
        <w:pStyle w:val="Default"/>
        <w:ind w:right="780"/>
        <w:rPr>
          <w:color w:val="auto"/>
          <w:sz w:val="23"/>
          <w:szCs w:val="23"/>
        </w:rPr>
      </w:pPr>
    </w:p>
    <w:p w14:paraId="7AEB7A94" w14:textId="77777777" w:rsidR="00BA52F2" w:rsidRPr="00BA52F2" w:rsidRDefault="00BA52F2" w:rsidP="00755480">
      <w:pPr>
        <w:pStyle w:val="Default"/>
        <w:ind w:right="780"/>
        <w:rPr>
          <w:color w:val="auto"/>
          <w:sz w:val="23"/>
          <w:szCs w:val="23"/>
        </w:rPr>
      </w:pPr>
      <w:r w:rsidRPr="00717A48">
        <w:rPr>
          <w:color w:val="auto"/>
          <w:sz w:val="23"/>
          <w:szCs w:val="23"/>
        </w:rPr>
        <w:t xml:space="preserve">This document forms part of the wider SEND strategy and aligns with the </w:t>
      </w:r>
      <w:r w:rsidRPr="00717A48">
        <w:rPr>
          <w:rFonts w:eastAsia="Times New Roman"/>
          <w:color w:val="auto"/>
          <w:sz w:val="23"/>
          <w:szCs w:val="23"/>
          <w:lang w:eastAsia="en-GB"/>
        </w:rPr>
        <w:t>national reforms to Alternative Provision (AP) that focus on early intervention and targeted support in mainstream schools, making AP an integral part of the broad SEND system. The national drive weaves together SEND and AP for the first time, recognising that many children that attend alternative provision will often have SEND.</w:t>
      </w:r>
    </w:p>
    <w:p w14:paraId="36CA892F" w14:textId="77777777" w:rsidR="00755480" w:rsidRDefault="00755480" w:rsidP="00755480">
      <w:pPr>
        <w:pStyle w:val="Default"/>
        <w:rPr>
          <w:sz w:val="23"/>
          <w:szCs w:val="23"/>
        </w:rPr>
      </w:pPr>
    </w:p>
    <w:p w14:paraId="12FDAF03" w14:textId="77777777" w:rsidR="007126A7" w:rsidRDefault="000B5D35" w:rsidP="006B4075">
      <w:pPr>
        <w:pStyle w:val="Heading1"/>
        <w:rPr>
          <w:lang w:bidi="en-GB"/>
        </w:rPr>
      </w:pPr>
      <w:bookmarkStart w:id="1" w:name="_Toc197506905"/>
      <w:r>
        <w:rPr>
          <w:lang w:bidi="en-GB"/>
        </w:rPr>
        <w:t xml:space="preserve">1 </w:t>
      </w:r>
      <w:r w:rsidR="007126A7" w:rsidRPr="00FC7075">
        <w:rPr>
          <w:lang w:bidi="en-GB"/>
        </w:rPr>
        <w:t>What is alternative provision (AP)?</w:t>
      </w:r>
      <w:bookmarkEnd w:id="1"/>
      <w:r w:rsidR="007126A7" w:rsidRPr="00FC7075">
        <w:rPr>
          <w:lang w:bidi="en-GB"/>
        </w:rPr>
        <w:t xml:space="preserve"> </w:t>
      </w:r>
    </w:p>
    <w:p w14:paraId="292FBEE3" w14:textId="77777777" w:rsidR="007126A7" w:rsidRPr="00FC7075" w:rsidRDefault="007126A7" w:rsidP="007126A7">
      <w:pPr>
        <w:pStyle w:val="Default"/>
        <w:rPr>
          <w:b/>
          <w:sz w:val="28"/>
          <w:szCs w:val="28"/>
          <w:lang w:bidi="en-GB"/>
        </w:rPr>
      </w:pPr>
    </w:p>
    <w:p w14:paraId="27BAD82B" w14:textId="77777777" w:rsidR="007126A7" w:rsidRPr="00656E54" w:rsidRDefault="007126A7" w:rsidP="007126A7">
      <w:pPr>
        <w:pStyle w:val="Default"/>
        <w:ind w:right="780"/>
        <w:rPr>
          <w:sz w:val="23"/>
          <w:szCs w:val="23"/>
          <w:lang w:bidi="en-GB"/>
        </w:rPr>
      </w:pPr>
      <w:r w:rsidRPr="00656E54">
        <w:rPr>
          <w:sz w:val="23"/>
          <w:szCs w:val="23"/>
          <w:lang w:bidi="en-GB"/>
        </w:rPr>
        <w:t>Alternative provision (AP) is where children and young people of compulsory school age can receive their education if they aren’t able to remain in their school some, or all of the time. This can be for health reasons, exclusion, or because they need some additional support beyond that which can reasonably be offered by their school.</w:t>
      </w:r>
    </w:p>
    <w:p w14:paraId="4603AAF5" w14:textId="77777777" w:rsidR="007126A7" w:rsidRPr="00755480" w:rsidRDefault="007126A7" w:rsidP="00755480">
      <w:pPr>
        <w:pStyle w:val="Default"/>
        <w:rPr>
          <w:sz w:val="23"/>
          <w:szCs w:val="23"/>
        </w:rPr>
      </w:pPr>
    </w:p>
    <w:p w14:paraId="15C261D5" w14:textId="77777777" w:rsidR="00755480" w:rsidRPr="00755480" w:rsidRDefault="00755480" w:rsidP="00755480">
      <w:pPr>
        <w:pStyle w:val="Default"/>
        <w:rPr>
          <w:sz w:val="23"/>
          <w:szCs w:val="23"/>
        </w:rPr>
      </w:pPr>
      <w:r w:rsidRPr="00755480">
        <w:rPr>
          <w:sz w:val="23"/>
          <w:szCs w:val="23"/>
        </w:rPr>
        <w:t xml:space="preserve">The creation of additional alternative provision places is just one part of our wider SEND Strategy </w:t>
      </w:r>
      <w:r w:rsidR="004A7C12">
        <w:rPr>
          <w:sz w:val="23"/>
          <w:szCs w:val="23"/>
        </w:rPr>
        <w:t>to support mainstream inclusion</w:t>
      </w:r>
      <w:r w:rsidRPr="00755480">
        <w:rPr>
          <w:sz w:val="23"/>
          <w:szCs w:val="23"/>
        </w:rPr>
        <w:t xml:space="preserve"> where appropriate, and deliver strong and robust processes to ensure the needs of all children in Herefordshire are met. </w:t>
      </w:r>
    </w:p>
    <w:p w14:paraId="5D2FE046" w14:textId="77777777" w:rsidR="00755480" w:rsidRPr="00755480" w:rsidRDefault="00755480" w:rsidP="00755480">
      <w:pPr>
        <w:pStyle w:val="Default"/>
        <w:rPr>
          <w:sz w:val="23"/>
          <w:szCs w:val="23"/>
        </w:rPr>
      </w:pPr>
    </w:p>
    <w:p w14:paraId="10BBCA9A" w14:textId="3320ADBE" w:rsidR="00755480" w:rsidRPr="00755480" w:rsidRDefault="00755480" w:rsidP="00755480">
      <w:pPr>
        <w:pStyle w:val="Default"/>
        <w:rPr>
          <w:sz w:val="23"/>
          <w:szCs w:val="23"/>
        </w:rPr>
      </w:pPr>
      <w:r w:rsidRPr="00755480">
        <w:rPr>
          <w:sz w:val="23"/>
          <w:szCs w:val="23"/>
        </w:rPr>
        <w:t xml:space="preserve">The aims of this Alternative Provision </w:t>
      </w:r>
      <w:r w:rsidR="004A7C12">
        <w:rPr>
          <w:sz w:val="23"/>
          <w:szCs w:val="23"/>
        </w:rPr>
        <w:t xml:space="preserve">and </w:t>
      </w:r>
      <w:r w:rsidRPr="00755480">
        <w:rPr>
          <w:sz w:val="23"/>
          <w:szCs w:val="23"/>
        </w:rPr>
        <w:t xml:space="preserve">Commissioning strategy are to </w:t>
      </w:r>
      <w:r w:rsidR="00551DEE">
        <w:rPr>
          <w:sz w:val="23"/>
          <w:szCs w:val="23"/>
        </w:rPr>
        <w:t>support</w:t>
      </w:r>
      <w:r w:rsidRPr="00755480">
        <w:rPr>
          <w:sz w:val="23"/>
          <w:szCs w:val="23"/>
        </w:rPr>
        <w:t>:</w:t>
      </w:r>
    </w:p>
    <w:p w14:paraId="0F584260" w14:textId="77777777" w:rsidR="00755480" w:rsidRPr="00755480" w:rsidRDefault="00755480" w:rsidP="00755480">
      <w:pPr>
        <w:pStyle w:val="Default"/>
        <w:rPr>
          <w:sz w:val="23"/>
          <w:szCs w:val="23"/>
        </w:rPr>
      </w:pPr>
    </w:p>
    <w:p w14:paraId="47F71AD7" w14:textId="77777777" w:rsidR="00755480" w:rsidRPr="00755480" w:rsidRDefault="00755480" w:rsidP="00656E54">
      <w:pPr>
        <w:pStyle w:val="Default"/>
        <w:numPr>
          <w:ilvl w:val="0"/>
          <w:numId w:val="17"/>
        </w:numPr>
        <w:rPr>
          <w:sz w:val="23"/>
          <w:szCs w:val="23"/>
        </w:rPr>
      </w:pPr>
      <w:r w:rsidRPr="00755480">
        <w:rPr>
          <w:sz w:val="23"/>
          <w:szCs w:val="23"/>
        </w:rPr>
        <w:t xml:space="preserve">An inclusive education system with effective early intervention, supported by a skilled workforce able to access additional support when it is needed. </w:t>
      </w:r>
    </w:p>
    <w:p w14:paraId="6DCD8C42" w14:textId="77777777" w:rsidR="00755480" w:rsidRPr="00755480" w:rsidRDefault="00755480" w:rsidP="00755480">
      <w:pPr>
        <w:pStyle w:val="Default"/>
        <w:rPr>
          <w:sz w:val="23"/>
          <w:szCs w:val="23"/>
        </w:rPr>
      </w:pPr>
    </w:p>
    <w:p w14:paraId="018ABE3C" w14:textId="77777777" w:rsidR="00755480" w:rsidRPr="00755480" w:rsidRDefault="00755480" w:rsidP="00656E54">
      <w:pPr>
        <w:pStyle w:val="Default"/>
        <w:numPr>
          <w:ilvl w:val="0"/>
          <w:numId w:val="17"/>
        </w:numPr>
        <w:rPr>
          <w:sz w:val="23"/>
          <w:szCs w:val="23"/>
        </w:rPr>
      </w:pPr>
      <w:r w:rsidRPr="00755480">
        <w:rPr>
          <w:sz w:val="23"/>
          <w:szCs w:val="23"/>
        </w:rPr>
        <w:t xml:space="preserve">To provide high quality alternative provision locally, operating alongside mainstream and special schools to meet the needs of Herefordshire pupils for some or all their education. </w:t>
      </w:r>
    </w:p>
    <w:p w14:paraId="42B0B9D2" w14:textId="77777777" w:rsidR="00755480" w:rsidRPr="00755480" w:rsidRDefault="00755480" w:rsidP="00755480">
      <w:pPr>
        <w:pStyle w:val="Default"/>
        <w:ind w:right="780"/>
        <w:rPr>
          <w:sz w:val="23"/>
          <w:szCs w:val="23"/>
          <w:lang w:bidi="en-GB"/>
        </w:rPr>
      </w:pPr>
    </w:p>
    <w:p w14:paraId="10D585B5" w14:textId="77777777" w:rsidR="00755480" w:rsidRPr="00755480" w:rsidRDefault="00755480" w:rsidP="00656E54">
      <w:pPr>
        <w:pStyle w:val="Default"/>
        <w:numPr>
          <w:ilvl w:val="0"/>
          <w:numId w:val="17"/>
        </w:numPr>
        <w:rPr>
          <w:sz w:val="23"/>
          <w:szCs w:val="23"/>
        </w:rPr>
      </w:pPr>
      <w:r w:rsidRPr="00755480">
        <w:rPr>
          <w:sz w:val="23"/>
          <w:szCs w:val="23"/>
        </w:rPr>
        <w:t xml:space="preserve">To create a shared understanding with parents/carers, schools and providers about when alternative provision may be appropriate, what is available in Herefordshire, and how it can be accessed. </w:t>
      </w:r>
    </w:p>
    <w:p w14:paraId="6A773C94" w14:textId="77777777" w:rsidR="00755480" w:rsidRPr="00755480" w:rsidRDefault="00755480" w:rsidP="00755480">
      <w:pPr>
        <w:pStyle w:val="Default"/>
        <w:rPr>
          <w:sz w:val="23"/>
          <w:szCs w:val="23"/>
        </w:rPr>
      </w:pPr>
    </w:p>
    <w:p w14:paraId="7B5BF312" w14:textId="77777777" w:rsidR="00755480" w:rsidRPr="00755480" w:rsidRDefault="00755480" w:rsidP="00656E54">
      <w:pPr>
        <w:pStyle w:val="Default"/>
        <w:numPr>
          <w:ilvl w:val="0"/>
          <w:numId w:val="17"/>
        </w:numPr>
        <w:rPr>
          <w:sz w:val="23"/>
          <w:szCs w:val="23"/>
        </w:rPr>
      </w:pPr>
      <w:r w:rsidRPr="00755480">
        <w:rPr>
          <w:sz w:val="23"/>
          <w:szCs w:val="23"/>
        </w:rPr>
        <w:t xml:space="preserve">To identify the gaps in alternative provision in Herefordshire and identify the key priorities for development. </w:t>
      </w:r>
    </w:p>
    <w:p w14:paraId="1188FCAB" w14:textId="77777777" w:rsidR="00755480" w:rsidRDefault="00755480" w:rsidP="00656E54">
      <w:pPr>
        <w:pStyle w:val="Default"/>
        <w:ind w:right="780"/>
        <w:rPr>
          <w:sz w:val="23"/>
          <w:szCs w:val="23"/>
        </w:rPr>
      </w:pPr>
    </w:p>
    <w:p w14:paraId="4F51DACD" w14:textId="77777777" w:rsidR="00755480" w:rsidRPr="00755480" w:rsidRDefault="00755480" w:rsidP="006B4075">
      <w:pPr>
        <w:pStyle w:val="Heading1"/>
      </w:pPr>
      <w:bookmarkStart w:id="2" w:name="_Toc197506906"/>
      <w:r w:rsidRPr="00755480">
        <w:t>2 National Context</w:t>
      </w:r>
      <w:bookmarkEnd w:id="2"/>
      <w:r w:rsidRPr="00755480">
        <w:t xml:space="preserve"> </w:t>
      </w:r>
    </w:p>
    <w:p w14:paraId="1243CA89" w14:textId="77777777" w:rsidR="00755480" w:rsidRPr="00755480" w:rsidRDefault="00755480" w:rsidP="00755480">
      <w:pPr>
        <w:pStyle w:val="Default"/>
        <w:rPr>
          <w:b/>
          <w:sz w:val="28"/>
          <w:szCs w:val="28"/>
        </w:rPr>
      </w:pPr>
    </w:p>
    <w:p w14:paraId="4DBD9800" w14:textId="77777777" w:rsidR="00755480" w:rsidRDefault="00755480" w:rsidP="00755480">
      <w:pPr>
        <w:pStyle w:val="Default"/>
        <w:rPr>
          <w:sz w:val="23"/>
          <w:szCs w:val="23"/>
        </w:rPr>
      </w:pPr>
      <w:r w:rsidRPr="00656E54">
        <w:rPr>
          <w:sz w:val="23"/>
          <w:szCs w:val="23"/>
        </w:rPr>
        <w:t>The Government’s r</w:t>
      </w:r>
      <w:r w:rsidRPr="00FC7075">
        <w:rPr>
          <w:sz w:val="23"/>
          <w:szCs w:val="23"/>
        </w:rPr>
        <w:t>ecently published ‘Green Paper</w:t>
      </w:r>
      <w:r>
        <w:rPr>
          <w:sz w:val="23"/>
          <w:szCs w:val="23"/>
        </w:rPr>
        <w:t xml:space="preserve">’ </w:t>
      </w:r>
      <w:r w:rsidRPr="00656E54">
        <w:rPr>
          <w:sz w:val="23"/>
          <w:szCs w:val="23"/>
        </w:rPr>
        <w:t xml:space="preserve">- The SEND Review, sets out the Government’s proposals for a system that offers children and young people the opportunity to thrive, with access to the right support, in the right place, and at the right time, so they can fulfil their potential and lead happy, healthy and productive adult lives. The paper seeks to establish a new national SEND and alternative provision system setting nationally consistent standards. </w:t>
      </w:r>
    </w:p>
    <w:p w14:paraId="7D7D149C" w14:textId="77777777" w:rsidR="00755480" w:rsidRPr="00656E54" w:rsidRDefault="00755480" w:rsidP="00755480">
      <w:pPr>
        <w:pStyle w:val="Default"/>
        <w:rPr>
          <w:sz w:val="23"/>
          <w:szCs w:val="23"/>
        </w:rPr>
      </w:pPr>
    </w:p>
    <w:p w14:paraId="428C91FE" w14:textId="07B61B15" w:rsidR="00755480" w:rsidRPr="00FC7075" w:rsidRDefault="00755480" w:rsidP="00755480">
      <w:pPr>
        <w:pStyle w:val="Default"/>
        <w:rPr>
          <w:sz w:val="23"/>
          <w:szCs w:val="23"/>
        </w:rPr>
      </w:pPr>
      <w:r w:rsidRPr="00656E54">
        <w:rPr>
          <w:sz w:val="23"/>
          <w:szCs w:val="23"/>
        </w:rPr>
        <w:t>The ‘Green Paper’ recognises that at their best, alternative provision schools are experts in supporting children and young people whose behaviour or other needs can present a barrier to learning, but, has also identified that too often the role of alternative provision is unclear, and it is used too late or in a way that is not best focused on children’s individual needs. To address these</w:t>
      </w:r>
      <w:r w:rsidRPr="00FC7075">
        <w:rPr>
          <w:sz w:val="23"/>
          <w:szCs w:val="23"/>
        </w:rPr>
        <w:t xml:space="preserve"> barriers the </w:t>
      </w:r>
      <w:r w:rsidR="00551DEE">
        <w:rPr>
          <w:sz w:val="23"/>
          <w:szCs w:val="23"/>
        </w:rPr>
        <w:t>p</w:t>
      </w:r>
      <w:r w:rsidRPr="00FC7075">
        <w:rPr>
          <w:sz w:val="23"/>
          <w:szCs w:val="23"/>
        </w:rPr>
        <w:t xml:space="preserve">aper seeks to: </w:t>
      </w:r>
    </w:p>
    <w:p w14:paraId="25C997B7" w14:textId="77777777" w:rsidR="00755480" w:rsidRPr="00656E54" w:rsidRDefault="00755480" w:rsidP="00755480">
      <w:pPr>
        <w:pStyle w:val="Default"/>
        <w:rPr>
          <w:sz w:val="23"/>
          <w:szCs w:val="23"/>
        </w:rPr>
      </w:pPr>
    </w:p>
    <w:p w14:paraId="41CE042C" w14:textId="77777777" w:rsidR="007126A7" w:rsidRDefault="007126A7" w:rsidP="004A7C12">
      <w:pPr>
        <w:pStyle w:val="Default"/>
        <w:ind w:left="720"/>
        <w:rPr>
          <w:sz w:val="23"/>
          <w:szCs w:val="23"/>
        </w:rPr>
      </w:pPr>
    </w:p>
    <w:p w14:paraId="1782EAC5" w14:textId="77777777" w:rsidR="007126A7" w:rsidRDefault="007126A7" w:rsidP="007126A7">
      <w:pPr>
        <w:pStyle w:val="Default"/>
        <w:numPr>
          <w:ilvl w:val="0"/>
          <w:numId w:val="6"/>
        </w:numPr>
        <w:adjustRightInd/>
        <w:rPr>
          <w:sz w:val="23"/>
          <w:szCs w:val="23"/>
        </w:rPr>
      </w:pPr>
      <w:r>
        <w:rPr>
          <w:sz w:val="23"/>
          <w:szCs w:val="23"/>
        </w:rPr>
        <w:t xml:space="preserve">Ensure alternative provision is an integral part of our whole system approach by delivering alternative provision that is fully integrated with the wider SEND system. This means supporting children and young people to remain in mainstream education by offering early, targeted support and time-limited or transitional placements in alternative provision for pupils who need more intensive support. The new </w:t>
      </w:r>
      <w:r>
        <w:rPr>
          <w:sz w:val="23"/>
          <w:szCs w:val="23"/>
        </w:rPr>
        <w:lastRenderedPageBreak/>
        <w:t xml:space="preserve">SEND and alternative provision partnerships will include planning and delivery of an effective alternative provision service focused on early intervention that meets needs early and well. </w:t>
      </w:r>
    </w:p>
    <w:p w14:paraId="147558CB" w14:textId="77777777" w:rsidR="00755480" w:rsidRPr="00656E54" w:rsidRDefault="00755480" w:rsidP="00656E54">
      <w:pPr>
        <w:pStyle w:val="Default"/>
        <w:ind w:left="720"/>
        <w:rPr>
          <w:sz w:val="23"/>
          <w:szCs w:val="23"/>
        </w:rPr>
      </w:pPr>
    </w:p>
    <w:p w14:paraId="74DC1353" w14:textId="77777777" w:rsidR="00755480" w:rsidRDefault="00755480" w:rsidP="00755480">
      <w:pPr>
        <w:pStyle w:val="Default"/>
        <w:numPr>
          <w:ilvl w:val="0"/>
          <w:numId w:val="6"/>
        </w:numPr>
        <w:rPr>
          <w:sz w:val="23"/>
          <w:szCs w:val="23"/>
        </w:rPr>
      </w:pPr>
      <w:r w:rsidRPr="00656E54">
        <w:rPr>
          <w:sz w:val="23"/>
          <w:szCs w:val="23"/>
        </w:rPr>
        <w:t xml:space="preserve">Give alternative provision schools the funding stability to deliver a service focused on early intervention by requiring local authorities to create and distribute an alternative provision specific budget. </w:t>
      </w:r>
    </w:p>
    <w:p w14:paraId="39DE3E1B" w14:textId="77777777" w:rsidR="00755480" w:rsidRPr="00656E54" w:rsidRDefault="00755480" w:rsidP="00656E54">
      <w:pPr>
        <w:pStyle w:val="Default"/>
        <w:rPr>
          <w:sz w:val="23"/>
          <w:szCs w:val="23"/>
        </w:rPr>
      </w:pPr>
    </w:p>
    <w:p w14:paraId="1E015B77" w14:textId="77777777" w:rsidR="00755480" w:rsidRDefault="00755480" w:rsidP="00755480">
      <w:pPr>
        <w:pStyle w:val="Default"/>
        <w:numPr>
          <w:ilvl w:val="0"/>
          <w:numId w:val="6"/>
        </w:numPr>
        <w:rPr>
          <w:sz w:val="23"/>
          <w:szCs w:val="23"/>
        </w:rPr>
      </w:pPr>
      <w:r w:rsidRPr="00656E54">
        <w:rPr>
          <w:sz w:val="23"/>
          <w:szCs w:val="23"/>
        </w:rPr>
        <w:t xml:space="preserve">Develop a bespoke performance framework for alternative provision which sets robust standards focused on progress, re-integration into mainstream education or sustainable post-16 destinations. </w:t>
      </w:r>
    </w:p>
    <w:p w14:paraId="351EACE9" w14:textId="77777777" w:rsidR="00755480" w:rsidRPr="00656E54" w:rsidRDefault="00755480" w:rsidP="00656E54">
      <w:pPr>
        <w:pStyle w:val="Default"/>
        <w:rPr>
          <w:sz w:val="23"/>
          <w:szCs w:val="23"/>
        </w:rPr>
      </w:pPr>
    </w:p>
    <w:p w14:paraId="74DC47D3" w14:textId="4B25777B" w:rsidR="00755480" w:rsidRDefault="00755480" w:rsidP="00755480">
      <w:pPr>
        <w:pStyle w:val="Default"/>
        <w:numPr>
          <w:ilvl w:val="0"/>
          <w:numId w:val="6"/>
        </w:numPr>
        <w:rPr>
          <w:sz w:val="23"/>
          <w:szCs w:val="23"/>
        </w:rPr>
      </w:pPr>
      <w:r w:rsidRPr="00656E54">
        <w:rPr>
          <w:sz w:val="23"/>
          <w:szCs w:val="23"/>
        </w:rPr>
        <w:t xml:space="preserve">Deliver greater oversight and transparency on children and young people’s movements into and out of alternative provision. </w:t>
      </w:r>
    </w:p>
    <w:p w14:paraId="0C84BC94" w14:textId="77777777" w:rsidR="005D2904" w:rsidRDefault="005D2904" w:rsidP="005D2904">
      <w:pPr>
        <w:pStyle w:val="ListParagraph"/>
        <w:rPr>
          <w:sz w:val="23"/>
          <w:szCs w:val="23"/>
        </w:rPr>
      </w:pPr>
    </w:p>
    <w:p w14:paraId="231A92AC" w14:textId="77777777" w:rsidR="005D2904" w:rsidRDefault="005D2904" w:rsidP="005D2904">
      <w:pPr>
        <w:pStyle w:val="Default"/>
        <w:rPr>
          <w:sz w:val="23"/>
          <w:szCs w:val="23"/>
        </w:rPr>
      </w:pPr>
      <w:r>
        <w:rPr>
          <w:sz w:val="23"/>
          <w:szCs w:val="23"/>
        </w:rPr>
        <w:t>In addition the updated keeping children safe in education 2024 states:</w:t>
      </w:r>
    </w:p>
    <w:p w14:paraId="4D79A0BB" w14:textId="77777777" w:rsidR="005D2904" w:rsidRDefault="005D2904" w:rsidP="005D2904">
      <w:pPr>
        <w:pStyle w:val="Default"/>
        <w:rPr>
          <w:sz w:val="23"/>
          <w:szCs w:val="23"/>
        </w:rPr>
      </w:pPr>
    </w:p>
    <w:p w14:paraId="4E181461" w14:textId="77777777" w:rsidR="005D2904" w:rsidRDefault="006B4075" w:rsidP="005D2904">
      <w:pPr>
        <w:pStyle w:val="Default"/>
        <w:rPr>
          <w:rFonts w:eastAsia="Times New Roman"/>
          <w:color w:val="auto"/>
          <w:sz w:val="22"/>
          <w:szCs w:val="20"/>
          <w:lang w:eastAsia="en-GB"/>
        </w:rPr>
      </w:pPr>
      <w:hyperlink r:id="rId8" w:history="1">
        <w:r w:rsidR="005D2904" w:rsidRPr="006E0E26">
          <w:rPr>
            <w:rFonts w:eastAsia="Times New Roman"/>
            <w:color w:val="0000FF"/>
            <w:sz w:val="22"/>
            <w:szCs w:val="20"/>
            <w:u w:val="single"/>
            <w:lang w:eastAsia="en-GB"/>
          </w:rPr>
          <w:t>Keeping children safe in education 2024 (publishing.service.gov.uk)</w:t>
        </w:r>
      </w:hyperlink>
    </w:p>
    <w:p w14:paraId="0CD29D0A" w14:textId="77777777" w:rsidR="005D2904" w:rsidRDefault="005D2904" w:rsidP="005D2904">
      <w:pPr>
        <w:pStyle w:val="Default"/>
        <w:rPr>
          <w:sz w:val="23"/>
          <w:szCs w:val="23"/>
        </w:rPr>
      </w:pPr>
    </w:p>
    <w:p w14:paraId="06DF4D45" w14:textId="77777777" w:rsidR="005D2904" w:rsidRPr="006E0E26" w:rsidRDefault="005D2904" w:rsidP="006B4075">
      <w:pPr>
        <w:pStyle w:val="Heading2"/>
        <w:rPr>
          <w:rFonts w:ascii="Calibri" w:hAnsi="Calibri" w:cs="Calibri"/>
        </w:rPr>
      </w:pPr>
      <w:bookmarkStart w:id="3" w:name="_Toc197506907"/>
      <w:r w:rsidRPr="006E0E26">
        <w:t>Pg. 47 Alternative Provision</w:t>
      </w:r>
      <w:bookmarkEnd w:id="3"/>
    </w:p>
    <w:p w14:paraId="3FA4123A" w14:textId="77777777" w:rsidR="005D2904" w:rsidRPr="006E0E26" w:rsidRDefault="005D2904" w:rsidP="005D2904">
      <w:r w:rsidRPr="006E0E26">
        <w:t xml:space="preserve">171. Where a school places a pupil with an alternative provision provider, it continues to be responsible for the safeguarding of that pupil and should be satisfied that the placement meets the pupil’s needs. </w:t>
      </w:r>
    </w:p>
    <w:p w14:paraId="145C23D3" w14:textId="77777777" w:rsidR="005D2904" w:rsidRPr="006E0E26" w:rsidRDefault="005D2904" w:rsidP="005D2904">
      <w:r w:rsidRPr="006E0E26">
        <w:t xml:space="preserve">172. The cohort of pupils in Alternative Provision often have complex needs, it is important that governing bodies and proprietors of these settings are aware of the additional risk of harm that their pupils may be vulnerable to. The department has issued two pieces of statutory guidance to which commissioners of Alternative Provision should have regard: </w:t>
      </w:r>
    </w:p>
    <w:p w14:paraId="2DD70695" w14:textId="77777777" w:rsidR="005D2904" w:rsidRPr="006E0E26" w:rsidRDefault="005D2904" w:rsidP="005D2904">
      <w:pPr>
        <w:pStyle w:val="ListParagraph"/>
        <w:widowControl/>
        <w:numPr>
          <w:ilvl w:val="0"/>
          <w:numId w:val="30"/>
        </w:numPr>
        <w:autoSpaceDE/>
        <w:autoSpaceDN/>
      </w:pPr>
      <w:r w:rsidRPr="006E0E26">
        <w:t xml:space="preserve">Alternative Provision DFE statutory guidance, and </w:t>
      </w:r>
    </w:p>
    <w:p w14:paraId="2D244D0F" w14:textId="77777777" w:rsidR="005D2904" w:rsidRPr="006E0E26" w:rsidRDefault="005D2904" w:rsidP="005D2904">
      <w:pPr>
        <w:pStyle w:val="ListParagraph"/>
        <w:widowControl/>
        <w:numPr>
          <w:ilvl w:val="0"/>
          <w:numId w:val="30"/>
        </w:numPr>
        <w:autoSpaceDE/>
        <w:autoSpaceDN/>
      </w:pPr>
      <w:r w:rsidRPr="006E0E26">
        <w:t>Education for children with health needs who cannot attend school - GOV.UK (</w:t>
      </w:r>
      <w:hyperlink r:id="rId9" w:history="1">
        <w:r w:rsidRPr="006E0E26">
          <w:rPr>
            <w:rStyle w:val="Hyperlink"/>
            <w:color w:val="auto"/>
          </w:rPr>
          <w:t>www.gov.uk</w:t>
        </w:r>
      </w:hyperlink>
      <w:r w:rsidRPr="006E0E26">
        <w:t>) – DFE statutory guidance</w:t>
      </w:r>
    </w:p>
    <w:p w14:paraId="64AD0480" w14:textId="77777777" w:rsidR="005D2904" w:rsidRPr="006E0E26" w:rsidRDefault="005D2904" w:rsidP="005D2904"/>
    <w:p w14:paraId="5C928A59" w14:textId="0F6FE12F" w:rsidR="005D2904" w:rsidRPr="006E0E26" w:rsidRDefault="006B4075" w:rsidP="006B4075">
      <w:pPr>
        <w:pStyle w:val="Heading2"/>
      </w:pPr>
      <w:bookmarkStart w:id="4" w:name="_Toc197506908"/>
      <w:r>
        <w:t>P</w:t>
      </w:r>
      <w:r w:rsidR="005D2904" w:rsidRPr="006E0E26">
        <w:t>g. 86 Alternative provision</w:t>
      </w:r>
      <w:bookmarkEnd w:id="4"/>
    </w:p>
    <w:p w14:paraId="7CD26F17" w14:textId="77777777" w:rsidR="005D2904" w:rsidRPr="006E0E26" w:rsidRDefault="005D2904" w:rsidP="005D2904">
      <w:r w:rsidRPr="006E0E26">
        <w:t xml:space="preserve">333. Where a school places a pupil with an alternative provision provider, the school continues to be responsible for the safeguarding of that pupil, (further information provided in part 2). </w:t>
      </w:r>
    </w:p>
    <w:p w14:paraId="41BC5A0C" w14:textId="7039B98F" w:rsidR="00551DEE" w:rsidRPr="00656E54" w:rsidRDefault="005D2904" w:rsidP="005D2904">
      <w:pPr>
        <w:pStyle w:val="Default"/>
        <w:rPr>
          <w:sz w:val="23"/>
          <w:szCs w:val="23"/>
        </w:rPr>
      </w:pPr>
      <w:r w:rsidRPr="006E0E26">
        <w:t>334. Schools should obtain written confirmation from the alternative provision provider that appropriate safeguarding checks have been carried out on individuals working at the establishment, i.e. those checks that the school would otherwise perform in respect of its own staff</w:t>
      </w:r>
    </w:p>
    <w:p w14:paraId="71D74384" w14:textId="77777777" w:rsidR="00755480" w:rsidRPr="00656E54" w:rsidRDefault="00755480" w:rsidP="00755480">
      <w:pPr>
        <w:pStyle w:val="Default"/>
        <w:rPr>
          <w:sz w:val="23"/>
          <w:szCs w:val="23"/>
        </w:rPr>
      </w:pPr>
    </w:p>
    <w:p w14:paraId="6A4611E4" w14:textId="77777777" w:rsidR="00755480" w:rsidRPr="00656E54" w:rsidRDefault="00755480" w:rsidP="00755480">
      <w:pPr>
        <w:pStyle w:val="Default"/>
        <w:rPr>
          <w:sz w:val="23"/>
          <w:szCs w:val="23"/>
        </w:rPr>
      </w:pPr>
    </w:p>
    <w:p w14:paraId="1D294A3F" w14:textId="77777777" w:rsidR="00755480" w:rsidRPr="00FC7075" w:rsidRDefault="00755480" w:rsidP="006B4075">
      <w:pPr>
        <w:pStyle w:val="Heading1"/>
      </w:pPr>
      <w:bookmarkStart w:id="5" w:name="_Toc197506909"/>
      <w:r w:rsidRPr="00FC7075">
        <w:t>3 Local Context</w:t>
      </w:r>
      <w:bookmarkEnd w:id="5"/>
      <w:r w:rsidRPr="00FC7075">
        <w:t xml:space="preserve"> </w:t>
      </w:r>
    </w:p>
    <w:p w14:paraId="54121460" w14:textId="77777777" w:rsidR="00755480" w:rsidRPr="00656E54" w:rsidRDefault="00755480" w:rsidP="00755480">
      <w:pPr>
        <w:pStyle w:val="Default"/>
        <w:rPr>
          <w:bCs/>
          <w:sz w:val="23"/>
          <w:szCs w:val="23"/>
        </w:rPr>
      </w:pPr>
    </w:p>
    <w:p w14:paraId="54A47746" w14:textId="77777777" w:rsidR="00755480" w:rsidRPr="00656E54" w:rsidRDefault="00755480" w:rsidP="00755480">
      <w:pPr>
        <w:pStyle w:val="Default"/>
        <w:rPr>
          <w:sz w:val="23"/>
          <w:szCs w:val="23"/>
        </w:rPr>
      </w:pPr>
      <w:r w:rsidRPr="00656E54">
        <w:rPr>
          <w:sz w:val="23"/>
          <w:szCs w:val="23"/>
        </w:rPr>
        <w:t>This Strategy is part of a wider framework of policy documents that support children and young people in Herefordshire:</w:t>
      </w:r>
    </w:p>
    <w:p w14:paraId="44808E73" w14:textId="77777777" w:rsidR="00755480" w:rsidRPr="00656E54" w:rsidRDefault="00755480" w:rsidP="00755480">
      <w:pPr>
        <w:pStyle w:val="Default"/>
        <w:rPr>
          <w:sz w:val="23"/>
          <w:szCs w:val="23"/>
        </w:rPr>
      </w:pPr>
    </w:p>
    <w:p w14:paraId="12E59956" w14:textId="127E3FE8" w:rsidR="00755480" w:rsidRPr="00656E54" w:rsidRDefault="006B4075" w:rsidP="003C4BB4">
      <w:pPr>
        <w:pStyle w:val="Default"/>
        <w:ind w:right="780"/>
        <w:jc w:val="both"/>
        <w:rPr>
          <w:sz w:val="23"/>
          <w:szCs w:val="23"/>
        </w:rPr>
      </w:pPr>
      <w:hyperlink r:id="rId10" w:history="1">
        <w:r w:rsidR="00755480" w:rsidRPr="00656E54">
          <w:rPr>
            <w:rStyle w:val="Hyperlink"/>
            <w:sz w:val="23"/>
            <w:szCs w:val="23"/>
          </w:rPr>
          <w:t>Herefordshire Children and Young People's Plan 2019-2024</w:t>
        </w:r>
      </w:hyperlink>
    </w:p>
    <w:p w14:paraId="0D383DA1" w14:textId="1066524B" w:rsidR="00755480" w:rsidRPr="00656E54" w:rsidRDefault="006B4075" w:rsidP="003C4BB4">
      <w:pPr>
        <w:pStyle w:val="Default"/>
        <w:ind w:right="780"/>
        <w:jc w:val="both"/>
        <w:rPr>
          <w:sz w:val="23"/>
          <w:szCs w:val="23"/>
        </w:rPr>
      </w:pPr>
      <w:hyperlink r:id="rId11" w:history="1">
        <w:r w:rsidR="00755480" w:rsidRPr="00FC7075">
          <w:rPr>
            <w:rStyle w:val="Hyperlink"/>
            <w:sz w:val="23"/>
            <w:szCs w:val="23"/>
          </w:rPr>
          <w:t>Draft Early H</w:t>
        </w:r>
        <w:r w:rsidR="00755480" w:rsidRPr="00656E54">
          <w:rPr>
            <w:rStyle w:val="Hyperlink"/>
            <w:sz w:val="23"/>
            <w:szCs w:val="23"/>
          </w:rPr>
          <w:t xml:space="preserve">elp </w:t>
        </w:r>
        <w:r w:rsidR="00755480">
          <w:rPr>
            <w:rStyle w:val="Hyperlink"/>
            <w:sz w:val="23"/>
            <w:szCs w:val="23"/>
          </w:rPr>
          <w:t>Mu</w:t>
        </w:r>
        <w:r w:rsidR="00551DEE">
          <w:rPr>
            <w:rStyle w:val="Hyperlink"/>
            <w:sz w:val="23"/>
            <w:szCs w:val="23"/>
          </w:rPr>
          <w:t>l</w:t>
        </w:r>
        <w:r w:rsidR="00755480">
          <w:rPr>
            <w:rStyle w:val="Hyperlink"/>
            <w:sz w:val="23"/>
            <w:szCs w:val="23"/>
          </w:rPr>
          <w:t>ti-Agency S</w:t>
        </w:r>
        <w:r w:rsidR="00755480" w:rsidRPr="00656E54">
          <w:rPr>
            <w:rStyle w:val="Hyperlink"/>
            <w:sz w:val="23"/>
            <w:szCs w:val="23"/>
          </w:rPr>
          <w:t>trategy 2021-2024 (herefordshire.gov.uk)</w:t>
        </w:r>
      </w:hyperlink>
    </w:p>
    <w:p w14:paraId="41A1049B" w14:textId="1ADC4B8D" w:rsidR="00755480" w:rsidRDefault="006B4075" w:rsidP="003C4BB4">
      <w:pPr>
        <w:pStyle w:val="Default"/>
        <w:ind w:right="780"/>
        <w:jc w:val="both"/>
        <w:rPr>
          <w:sz w:val="23"/>
          <w:szCs w:val="23"/>
        </w:rPr>
      </w:pPr>
      <w:hyperlink r:id="rId12" w:history="1">
        <w:r w:rsidR="00755480" w:rsidRPr="00FC7075">
          <w:rPr>
            <w:rStyle w:val="Hyperlink"/>
            <w:sz w:val="23"/>
            <w:szCs w:val="23"/>
          </w:rPr>
          <w:t>Herefordshire</w:t>
        </w:r>
        <w:r w:rsidR="00755480" w:rsidRPr="00755480">
          <w:rPr>
            <w:rStyle w:val="Hyperlink"/>
            <w:sz w:val="23"/>
            <w:szCs w:val="23"/>
          </w:rPr>
          <w:t xml:space="preserve"> SEND Strategy </w:t>
        </w:r>
      </w:hyperlink>
    </w:p>
    <w:p w14:paraId="3C9E1AD7" w14:textId="4BA54627" w:rsidR="005D2904" w:rsidRPr="00656E54" w:rsidRDefault="006B4075" w:rsidP="003C4BB4">
      <w:pPr>
        <w:pStyle w:val="Default"/>
        <w:ind w:right="780"/>
        <w:jc w:val="both"/>
        <w:rPr>
          <w:sz w:val="23"/>
          <w:szCs w:val="23"/>
        </w:rPr>
      </w:pPr>
      <w:hyperlink r:id="rId13" w:history="1">
        <w:r w:rsidR="005D2904" w:rsidRPr="005D2904">
          <w:rPr>
            <w:rFonts w:eastAsia="Times New Roman"/>
            <w:color w:val="0000FF"/>
            <w:sz w:val="22"/>
            <w:szCs w:val="20"/>
            <w:u w:val="single"/>
            <w:lang w:eastAsia="en-GB"/>
          </w:rPr>
          <w:t>Herefordshire Council Plan 2024-2028</w:t>
        </w:r>
      </w:hyperlink>
    </w:p>
    <w:p w14:paraId="593A9436" w14:textId="77777777" w:rsidR="00755480" w:rsidRPr="00656E54" w:rsidRDefault="00755480" w:rsidP="003C4BB4">
      <w:pPr>
        <w:pStyle w:val="Default"/>
        <w:ind w:right="780"/>
        <w:jc w:val="both"/>
        <w:rPr>
          <w:sz w:val="23"/>
          <w:szCs w:val="23"/>
        </w:rPr>
      </w:pPr>
    </w:p>
    <w:p w14:paraId="3754B6A8" w14:textId="77777777" w:rsidR="00755480" w:rsidRDefault="00755480" w:rsidP="00755480">
      <w:pPr>
        <w:pStyle w:val="Default"/>
        <w:ind w:right="780"/>
        <w:rPr>
          <w:sz w:val="23"/>
          <w:szCs w:val="23"/>
        </w:rPr>
      </w:pPr>
      <w:r w:rsidRPr="00656E54">
        <w:rPr>
          <w:sz w:val="23"/>
          <w:szCs w:val="23"/>
        </w:rPr>
        <w:t>Herefordshire is a sparsely populated large rural county that has</w:t>
      </w:r>
      <w:r>
        <w:rPr>
          <w:sz w:val="23"/>
          <w:szCs w:val="23"/>
        </w:rPr>
        <w:t>:</w:t>
      </w:r>
    </w:p>
    <w:p w14:paraId="1CD483E1" w14:textId="4B55A5A5" w:rsidR="005D2904" w:rsidRDefault="005D2904" w:rsidP="004B5818">
      <w:pPr>
        <w:pStyle w:val="ListParagraph"/>
        <w:rPr>
          <w:sz w:val="23"/>
          <w:szCs w:val="23"/>
        </w:rPr>
      </w:pPr>
    </w:p>
    <w:p w14:paraId="1DBB5BB8" w14:textId="589C52FD" w:rsidR="005D2904" w:rsidRPr="005D2904" w:rsidRDefault="005D2904" w:rsidP="005D2904">
      <w:pPr>
        <w:pStyle w:val="Default"/>
        <w:numPr>
          <w:ilvl w:val="0"/>
          <w:numId w:val="18"/>
        </w:numPr>
        <w:ind w:right="780"/>
        <w:rPr>
          <w:sz w:val="23"/>
          <w:szCs w:val="23"/>
        </w:rPr>
      </w:pPr>
      <w:r>
        <w:rPr>
          <w:sz w:val="23"/>
          <w:szCs w:val="23"/>
        </w:rPr>
        <w:t xml:space="preserve">52 LA maintained primary schools </w:t>
      </w:r>
    </w:p>
    <w:p w14:paraId="37BA5F96" w14:textId="40131DF5" w:rsidR="005D2904" w:rsidRPr="005D2904" w:rsidRDefault="005D2904" w:rsidP="005D2904">
      <w:pPr>
        <w:pStyle w:val="Default"/>
        <w:numPr>
          <w:ilvl w:val="0"/>
          <w:numId w:val="18"/>
        </w:numPr>
        <w:ind w:right="780"/>
        <w:rPr>
          <w:sz w:val="23"/>
          <w:szCs w:val="23"/>
        </w:rPr>
      </w:pPr>
      <w:r>
        <w:rPr>
          <w:sz w:val="23"/>
          <w:szCs w:val="23"/>
        </w:rPr>
        <w:t>25 Primary academies</w:t>
      </w:r>
    </w:p>
    <w:p w14:paraId="03F1CABF" w14:textId="5656F781" w:rsidR="005D2904" w:rsidRPr="005D2904" w:rsidRDefault="005D2904" w:rsidP="005D2904">
      <w:pPr>
        <w:pStyle w:val="Default"/>
        <w:numPr>
          <w:ilvl w:val="0"/>
          <w:numId w:val="18"/>
        </w:numPr>
        <w:ind w:right="780"/>
        <w:rPr>
          <w:sz w:val="23"/>
          <w:szCs w:val="23"/>
        </w:rPr>
      </w:pPr>
      <w:r>
        <w:rPr>
          <w:sz w:val="23"/>
          <w:szCs w:val="23"/>
        </w:rPr>
        <w:t>1 Primary free school</w:t>
      </w:r>
    </w:p>
    <w:p w14:paraId="6DFBBF46" w14:textId="5C7B1A32" w:rsidR="005D2904" w:rsidRPr="005D2904" w:rsidRDefault="005D2904" w:rsidP="005D2904">
      <w:pPr>
        <w:pStyle w:val="Default"/>
        <w:numPr>
          <w:ilvl w:val="0"/>
          <w:numId w:val="18"/>
        </w:numPr>
        <w:ind w:right="780"/>
        <w:rPr>
          <w:sz w:val="23"/>
          <w:szCs w:val="23"/>
        </w:rPr>
      </w:pPr>
      <w:r>
        <w:rPr>
          <w:sz w:val="23"/>
          <w:szCs w:val="23"/>
        </w:rPr>
        <w:t xml:space="preserve">5 </w:t>
      </w:r>
      <w:r w:rsidRPr="005D2904">
        <w:rPr>
          <w:sz w:val="23"/>
          <w:szCs w:val="23"/>
        </w:rPr>
        <w:t xml:space="preserve">LA maintained secondary schools </w:t>
      </w:r>
    </w:p>
    <w:p w14:paraId="6DE5E1FA" w14:textId="2AC9ABE6" w:rsidR="005D2904" w:rsidRPr="005D2904" w:rsidRDefault="005D2904" w:rsidP="005D2904">
      <w:pPr>
        <w:pStyle w:val="Default"/>
        <w:numPr>
          <w:ilvl w:val="0"/>
          <w:numId w:val="18"/>
        </w:numPr>
        <w:ind w:right="780"/>
        <w:rPr>
          <w:sz w:val="23"/>
          <w:szCs w:val="23"/>
        </w:rPr>
      </w:pPr>
      <w:r>
        <w:rPr>
          <w:sz w:val="23"/>
          <w:szCs w:val="23"/>
        </w:rPr>
        <w:t xml:space="preserve">9 </w:t>
      </w:r>
      <w:r w:rsidRPr="005D2904">
        <w:rPr>
          <w:sz w:val="23"/>
          <w:szCs w:val="23"/>
        </w:rPr>
        <w:t xml:space="preserve">Secondary </w:t>
      </w:r>
      <w:r>
        <w:rPr>
          <w:sz w:val="23"/>
          <w:szCs w:val="23"/>
        </w:rPr>
        <w:t>academies</w:t>
      </w:r>
      <w:r w:rsidRPr="005D2904">
        <w:rPr>
          <w:sz w:val="23"/>
          <w:szCs w:val="23"/>
        </w:rPr>
        <w:t xml:space="preserve"> </w:t>
      </w:r>
    </w:p>
    <w:p w14:paraId="271B3646" w14:textId="4E47943E" w:rsidR="005D2904" w:rsidRPr="005D2904" w:rsidRDefault="005D2904" w:rsidP="005D2904">
      <w:pPr>
        <w:pStyle w:val="Default"/>
        <w:numPr>
          <w:ilvl w:val="0"/>
          <w:numId w:val="18"/>
        </w:numPr>
        <w:ind w:right="780"/>
        <w:rPr>
          <w:sz w:val="23"/>
          <w:szCs w:val="23"/>
        </w:rPr>
      </w:pPr>
      <w:r>
        <w:rPr>
          <w:sz w:val="23"/>
          <w:szCs w:val="23"/>
        </w:rPr>
        <w:t xml:space="preserve">1 </w:t>
      </w:r>
      <w:r w:rsidRPr="005D2904">
        <w:rPr>
          <w:sz w:val="23"/>
          <w:szCs w:val="23"/>
        </w:rPr>
        <w:t xml:space="preserve">All through </w:t>
      </w:r>
      <w:r>
        <w:rPr>
          <w:sz w:val="23"/>
          <w:szCs w:val="23"/>
        </w:rPr>
        <w:t>academy</w:t>
      </w:r>
    </w:p>
    <w:p w14:paraId="59FDD80C" w14:textId="582751EA" w:rsidR="005D2904" w:rsidRPr="005D2904" w:rsidRDefault="005D2904" w:rsidP="005D2904">
      <w:pPr>
        <w:pStyle w:val="Default"/>
        <w:numPr>
          <w:ilvl w:val="0"/>
          <w:numId w:val="18"/>
        </w:numPr>
        <w:ind w:right="780"/>
        <w:rPr>
          <w:sz w:val="23"/>
          <w:szCs w:val="23"/>
        </w:rPr>
      </w:pPr>
      <w:r>
        <w:rPr>
          <w:sz w:val="23"/>
          <w:szCs w:val="23"/>
        </w:rPr>
        <w:t xml:space="preserve">2 </w:t>
      </w:r>
      <w:r w:rsidRPr="005D2904">
        <w:rPr>
          <w:sz w:val="23"/>
          <w:szCs w:val="23"/>
        </w:rPr>
        <w:t>LA maintained special schools</w:t>
      </w:r>
    </w:p>
    <w:p w14:paraId="7A561C2C" w14:textId="55DCB17E" w:rsidR="005D2904" w:rsidRPr="005D2904" w:rsidRDefault="005D2904" w:rsidP="005D2904">
      <w:pPr>
        <w:pStyle w:val="Default"/>
        <w:numPr>
          <w:ilvl w:val="0"/>
          <w:numId w:val="18"/>
        </w:numPr>
        <w:ind w:right="780"/>
        <w:rPr>
          <w:sz w:val="23"/>
          <w:szCs w:val="23"/>
        </w:rPr>
      </w:pPr>
      <w:r>
        <w:rPr>
          <w:sz w:val="23"/>
          <w:szCs w:val="23"/>
        </w:rPr>
        <w:t xml:space="preserve"> 2 Special school academies</w:t>
      </w:r>
    </w:p>
    <w:p w14:paraId="5483BFB1" w14:textId="44197F8A" w:rsidR="005D2904" w:rsidRPr="005D2904" w:rsidRDefault="005D2904" w:rsidP="005D2904">
      <w:pPr>
        <w:pStyle w:val="Default"/>
        <w:numPr>
          <w:ilvl w:val="0"/>
          <w:numId w:val="18"/>
        </w:numPr>
        <w:ind w:right="780"/>
        <w:rPr>
          <w:sz w:val="23"/>
          <w:szCs w:val="23"/>
        </w:rPr>
      </w:pPr>
      <w:r>
        <w:rPr>
          <w:sz w:val="23"/>
          <w:szCs w:val="23"/>
        </w:rPr>
        <w:t>1 LA maintained PRU</w:t>
      </w:r>
    </w:p>
    <w:p w14:paraId="5D5DBEF1" w14:textId="78B40293" w:rsidR="005D2904" w:rsidRPr="005D2904" w:rsidRDefault="005D2904" w:rsidP="005D2904">
      <w:pPr>
        <w:pStyle w:val="Default"/>
        <w:numPr>
          <w:ilvl w:val="0"/>
          <w:numId w:val="18"/>
        </w:numPr>
        <w:ind w:right="780"/>
        <w:rPr>
          <w:sz w:val="23"/>
          <w:szCs w:val="23"/>
        </w:rPr>
      </w:pPr>
      <w:r>
        <w:rPr>
          <w:sz w:val="23"/>
          <w:szCs w:val="23"/>
        </w:rPr>
        <w:t>1 Special Free school</w:t>
      </w:r>
    </w:p>
    <w:p w14:paraId="707314FD" w14:textId="1E7DDAF1" w:rsidR="005D2904" w:rsidRPr="005D2904" w:rsidRDefault="005D2904" w:rsidP="005D2904">
      <w:pPr>
        <w:pStyle w:val="Default"/>
        <w:numPr>
          <w:ilvl w:val="0"/>
          <w:numId w:val="18"/>
        </w:numPr>
        <w:ind w:right="780"/>
        <w:rPr>
          <w:sz w:val="23"/>
          <w:szCs w:val="23"/>
        </w:rPr>
      </w:pPr>
      <w:r>
        <w:rPr>
          <w:sz w:val="23"/>
          <w:szCs w:val="23"/>
        </w:rPr>
        <w:t xml:space="preserve">6 Independent Schools </w:t>
      </w:r>
    </w:p>
    <w:p w14:paraId="5CF40CD3" w14:textId="655B7B51" w:rsidR="00755480" w:rsidRPr="005D2904" w:rsidRDefault="005D2904" w:rsidP="00706E60">
      <w:pPr>
        <w:pStyle w:val="ListParagraph"/>
        <w:rPr>
          <w:sz w:val="23"/>
          <w:szCs w:val="23"/>
        </w:rPr>
      </w:pPr>
      <w:r>
        <w:rPr>
          <w:sz w:val="23"/>
          <w:szCs w:val="23"/>
        </w:rPr>
        <w:lastRenderedPageBreak/>
        <w:t>5 Independent special schools</w:t>
      </w:r>
    </w:p>
    <w:p w14:paraId="199CD325" w14:textId="77777777" w:rsidR="00755480" w:rsidRDefault="00755480" w:rsidP="00656E54">
      <w:pPr>
        <w:pStyle w:val="Default"/>
        <w:numPr>
          <w:ilvl w:val="0"/>
          <w:numId w:val="18"/>
        </w:numPr>
        <w:ind w:right="780"/>
        <w:rPr>
          <w:sz w:val="23"/>
          <w:szCs w:val="23"/>
        </w:rPr>
      </w:pPr>
      <w:r w:rsidRPr="00656E54">
        <w:rPr>
          <w:sz w:val="23"/>
          <w:szCs w:val="23"/>
        </w:rPr>
        <w:t>There are a number of independent private alternative provision providers in the county.</w:t>
      </w:r>
    </w:p>
    <w:p w14:paraId="305CF9C6" w14:textId="77777777" w:rsidR="00755480" w:rsidRPr="00656E54" w:rsidRDefault="00755480" w:rsidP="00FC7075">
      <w:pPr>
        <w:pStyle w:val="Default"/>
        <w:ind w:right="780"/>
        <w:rPr>
          <w:sz w:val="23"/>
          <w:szCs w:val="23"/>
        </w:rPr>
      </w:pPr>
    </w:p>
    <w:p w14:paraId="79E6F7C5" w14:textId="77777777" w:rsidR="00755480" w:rsidRDefault="00755480" w:rsidP="00755480">
      <w:pPr>
        <w:pStyle w:val="Default"/>
        <w:rPr>
          <w:sz w:val="23"/>
          <w:szCs w:val="23"/>
          <w:lang w:bidi="en-GB"/>
        </w:rPr>
      </w:pPr>
      <w:r w:rsidRPr="00656E54">
        <w:rPr>
          <w:sz w:val="23"/>
          <w:szCs w:val="23"/>
          <w:lang w:bidi="en-GB"/>
        </w:rPr>
        <w:t xml:space="preserve">The LA </w:t>
      </w:r>
      <w:r>
        <w:rPr>
          <w:sz w:val="23"/>
          <w:szCs w:val="23"/>
          <w:lang w:bidi="en-GB"/>
        </w:rPr>
        <w:t>ensures</w:t>
      </w:r>
      <w:r w:rsidRPr="00656E54">
        <w:rPr>
          <w:sz w:val="23"/>
          <w:szCs w:val="23"/>
          <w:lang w:bidi="en-GB"/>
        </w:rPr>
        <w:t xml:space="preserve"> that it has systems, services and alternative provisions, which will enable it to discharge its statutory responsibilities and do the right thing for children, ensuring that where possible, children can be supported to receive their education through regular attendance at school. Where this is not possible, and/or they require access to alternative provision, there must be sufficient suitable and local places available that can be accessed by schools and the Local Authority to meet their duty to ensure that all children can receive a suitable full-time education.</w:t>
      </w:r>
    </w:p>
    <w:p w14:paraId="4A4D5713" w14:textId="77777777" w:rsidR="00755480" w:rsidRPr="00656E54" w:rsidRDefault="00755480" w:rsidP="00755480">
      <w:pPr>
        <w:pStyle w:val="Default"/>
        <w:ind w:right="780"/>
        <w:rPr>
          <w:sz w:val="23"/>
          <w:szCs w:val="23"/>
          <w:lang w:bidi="en-GB"/>
        </w:rPr>
      </w:pPr>
    </w:p>
    <w:p w14:paraId="14124115" w14:textId="77777777" w:rsidR="00755480" w:rsidRDefault="00755480" w:rsidP="006B4075">
      <w:pPr>
        <w:pStyle w:val="Heading2"/>
      </w:pPr>
      <w:bookmarkStart w:id="6" w:name="_Toc197506910"/>
      <w:r w:rsidRPr="00FC7075">
        <w:t>Local Authority Statutory duties</w:t>
      </w:r>
      <w:bookmarkEnd w:id="6"/>
    </w:p>
    <w:p w14:paraId="1B57798E" w14:textId="77777777" w:rsidR="00755480" w:rsidRPr="00FC7075" w:rsidRDefault="00755480" w:rsidP="005C03EE">
      <w:pPr>
        <w:pStyle w:val="Default"/>
        <w:ind w:left="360" w:right="780"/>
        <w:rPr>
          <w:b/>
          <w:sz w:val="28"/>
          <w:szCs w:val="28"/>
          <w:lang w:bidi="en-GB"/>
        </w:rPr>
      </w:pPr>
    </w:p>
    <w:p w14:paraId="05DEF589" w14:textId="77777777" w:rsidR="00755480" w:rsidRDefault="00755480" w:rsidP="00755480">
      <w:pPr>
        <w:pStyle w:val="Default"/>
        <w:rPr>
          <w:sz w:val="23"/>
          <w:szCs w:val="23"/>
          <w:lang w:bidi="en-GB"/>
        </w:rPr>
      </w:pPr>
      <w:r w:rsidRPr="00656E54">
        <w:rPr>
          <w:sz w:val="23"/>
          <w:szCs w:val="23"/>
          <w:lang w:bidi="en-GB"/>
        </w:rPr>
        <w:t xml:space="preserve">The Local Authority has a statutory duty to make arrangements for the provision of suitable education at school, or otherwise, for each child of compulsory school age who, for reasons of illness, exclusion or otherwise, would not receive it unless such arrangements were made (The Education Act 1996: Section 19 and </w:t>
      </w:r>
      <w:hyperlink r:id="rId14">
        <w:r w:rsidRPr="00656E54">
          <w:rPr>
            <w:rStyle w:val="Hyperlink"/>
            <w:sz w:val="23"/>
            <w:szCs w:val="23"/>
            <w:lang w:bidi="en-GB"/>
          </w:rPr>
          <w:t>DfE statutory guidance on Alternative Provision 2013</w:t>
        </w:r>
      </w:hyperlink>
      <w:r w:rsidRPr="00656E54">
        <w:rPr>
          <w:sz w:val="23"/>
          <w:szCs w:val="23"/>
          <w:lang w:bidi="en-GB"/>
        </w:rPr>
        <w:t>).</w:t>
      </w:r>
    </w:p>
    <w:p w14:paraId="557E3E0B" w14:textId="77777777" w:rsidR="00F501E1" w:rsidRPr="00656E54" w:rsidRDefault="00F501E1" w:rsidP="00755480">
      <w:pPr>
        <w:pStyle w:val="Default"/>
        <w:rPr>
          <w:sz w:val="23"/>
          <w:szCs w:val="23"/>
          <w:lang w:bidi="en-GB"/>
        </w:rPr>
      </w:pPr>
    </w:p>
    <w:p w14:paraId="671F0B74" w14:textId="77777777" w:rsidR="00755480" w:rsidRPr="00656E54" w:rsidRDefault="00755480" w:rsidP="00755480">
      <w:pPr>
        <w:pStyle w:val="Default"/>
        <w:ind w:right="780"/>
        <w:rPr>
          <w:sz w:val="23"/>
          <w:szCs w:val="23"/>
          <w:lang w:bidi="en-GB"/>
        </w:rPr>
      </w:pPr>
      <w:r w:rsidRPr="00656E54">
        <w:rPr>
          <w:sz w:val="23"/>
          <w:szCs w:val="23"/>
          <w:lang w:bidi="en-GB"/>
        </w:rPr>
        <w:t xml:space="preserve">This is a comprehensive duty, which is normally fulfilled through children having access to and regular attendance at mainstream and special schools. In some circumstances this may not be the case and the local authority is then required to act </w:t>
      </w:r>
      <w:r w:rsidR="00E40F19">
        <w:rPr>
          <w:sz w:val="23"/>
          <w:szCs w:val="23"/>
          <w:lang w:bidi="en-GB"/>
        </w:rPr>
        <w:t xml:space="preserve">to </w:t>
      </w:r>
      <w:r w:rsidRPr="00656E54">
        <w:rPr>
          <w:sz w:val="23"/>
          <w:szCs w:val="23"/>
          <w:lang w:bidi="en-GB"/>
        </w:rPr>
        <w:t>ensure that alternative provision is in place.</w:t>
      </w:r>
      <w:r w:rsidR="00F501E1">
        <w:rPr>
          <w:sz w:val="23"/>
          <w:szCs w:val="23"/>
          <w:lang w:bidi="en-GB"/>
        </w:rPr>
        <w:t xml:space="preserve"> </w:t>
      </w:r>
      <w:r w:rsidRPr="00656E54">
        <w:rPr>
          <w:sz w:val="23"/>
          <w:szCs w:val="23"/>
          <w:lang w:bidi="en-GB"/>
        </w:rPr>
        <w:t>This duty applies equally where a child is known to be on the roll of a school but not accessing their education:</w:t>
      </w:r>
    </w:p>
    <w:p w14:paraId="2D074AB7" w14:textId="77777777" w:rsidR="00755480" w:rsidRPr="00656E54" w:rsidRDefault="00755480" w:rsidP="00FC7075">
      <w:pPr>
        <w:pStyle w:val="Default"/>
        <w:ind w:right="780"/>
        <w:rPr>
          <w:sz w:val="23"/>
          <w:szCs w:val="23"/>
          <w:lang w:bidi="en-GB"/>
        </w:rPr>
      </w:pPr>
    </w:p>
    <w:p w14:paraId="0BCA25B3" w14:textId="77777777" w:rsidR="00F501E1" w:rsidRDefault="00755480" w:rsidP="00656E54">
      <w:pPr>
        <w:pStyle w:val="Default"/>
        <w:numPr>
          <w:ilvl w:val="0"/>
          <w:numId w:val="22"/>
        </w:numPr>
        <w:ind w:right="780"/>
        <w:rPr>
          <w:sz w:val="23"/>
          <w:szCs w:val="23"/>
          <w:lang w:bidi="en-GB"/>
        </w:rPr>
      </w:pPr>
      <w:r w:rsidRPr="00656E54">
        <w:rPr>
          <w:sz w:val="23"/>
          <w:szCs w:val="23"/>
          <w:lang w:bidi="en-GB"/>
        </w:rPr>
        <w:t>Section 19 Education Act 1996 places a duty on local authorities to provide suitable alternative education for children of statutory school age who cannot attend school because of illness, exclusion or ‘otherwise’.</w:t>
      </w:r>
    </w:p>
    <w:p w14:paraId="651507FC" w14:textId="77777777" w:rsidR="00F501E1" w:rsidRDefault="00F501E1" w:rsidP="00656E54">
      <w:pPr>
        <w:pStyle w:val="Default"/>
        <w:ind w:left="720" w:right="780"/>
        <w:rPr>
          <w:sz w:val="23"/>
          <w:szCs w:val="23"/>
          <w:lang w:bidi="en-GB"/>
        </w:rPr>
      </w:pPr>
    </w:p>
    <w:p w14:paraId="72E04515" w14:textId="77777777" w:rsidR="00F501E1" w:rsidRDefault="00755480" w:rsidP="00656E54">
      <w:pPr>
        <w:pStyle w:val="Default"/>
        <w:numPr>
          <w:ilvl w:val="0"/>
          <w:numId w:val="22"/>
        </w:numPr>
        <w:ind w:right="780"/>
        <w:rPr>
          <w:sz w:val="23"/>
          <w:szCs w:val="23"/>
          <w:lang w:bidi="en-GB"/>
        </w:rPr>
      </w:pPr>
      <w:r w:rsidRPr="00656E54">
        <w:rPr>
          <w:sz w:val="23"/>
          <w:szCs w:val="23"/>
          <w:lang w:bidi="en-GB"/>
        </w:rPr>
        <w:t>The courts have found that ‘otherwise’ is intended to cover any situation in which it is not reasonably possible or practicable for the child to take advantage of existing suitable schooling.</w:t>
      </w:r>
    </w:p>
    <w:p w14:paraId="20C71E1B" w14:textId="77777777" w:rsidR="00F501E1" w:rsidRDefault="00F501E1" w:rsidP="00656E54">
      <w:pPr>
        <w:pStyle w:val="ListParagraph"/>
        <w:rPr>
          <w:sz w:val="23"/>
          <w:szCs w:val="23"/>
        </w:rPr>
      </w:pPr>
    </w:p>
    <w:p w14:paraId="11DAC5CE" w14:textId="77777777" w:rsidR="00755480" w:rsidRPr="00656E54" w:rsidRDefault="00755480" w:rsidP="00656E54">
      <w:pPr>
        <w:pStyle w:val="Default"/>
        <w:numPr>
          <w:ilvl w:val="0"/>
          <w:numId w:val="22"/>
        </w:numPr>
        <w:ind w:right="780"/>
        <w:rPr>
          <w:sz w:val="23"/>
          <w:szCs w:val="23"/>
          <w:lang w:bidi="en-GB"/>
        </w:rPr>
      </w:pPr>
      <w:r w:rsidRPr="00656E54">
        <w:rPr>
          <w:sz w:val="23"/>
          <w:szCs w:val="23"/>
          <w:lang w:bidi="en-GB"/>
        </w:rPr>
        <w:t>The DfE guidance for Children Missing Education says that when the reason why a child has stopped attending a school is not known, the Local Authority should investigate the case and satisfy itself that the child is receiving suitable education.</w:t>
      </w:r>
    </w:p>
    <w:p w14:paraId="10E33B11" w14:textId="77777777" w:rsidR="00755480" w:rsidRPr="00656E54" w:rsidRDefault="00755480" w:rsidP="00755480">
      <w:pPr>
        <w:pStyle w:val="Default"/>
        <w:ind w:right="780"/>
        <w:rPr>
          <w:sz w:val="23"/>
          <w:szCs w:val="23"/>
          <w:lang w:bidi="en-GB"/>
        </w:rPr>
      </w:pPr>
    </w:p>
    <w:p w14:paraId="785DBCBC" w14:textId="77777777" w:rsidR="00755480" w:rsidRPr="00656E54" w:rsidRDefault="00755480" w:rsidP="00755480">
      <w:pPr>
        <w:pStyle w:val="Default"/>
        <w:rPr>
          <w:sz w:val="23"/>
          <w:szCs w:val="23"/>
          <w:lang w:bidi="en-GB"/>
        </w:rPr>
      </w:pPr>
      <w:r w:rsidRPr="00656E54">
        <w:rPr>
          <w:sz w:val="23"/>
          <w:szCs w:val="23"/>
          <w:lang w:bidi="en-GB"/>
        </w:rPr>
        <w:t>The Section 19 duty covers all compulsory school age children irrespective of their needs and the reasons leading up to them. These groups include:</w:t>
      </w:r>
    </w:p>
    <w:p w14:paraId="3F1E7607" w14:textId="77777777" w:rsidR="00755480" w:rsidRPr="00656E54" w:rsidRDefault="00755480" w:rsidP="00755480">
      <w:pPr>
        <w:pStyle w:val="Default"/>
        <w:ind w:right="780"/>
        <w:rPr>
          <w:sz w:val="23"/>
          <w:szCs w:val="23"/>
          <w:lang w:bidi="en-GB"/>
        </w:rPr>
      </w:pPr>
    </w:p>
    <w:p w14:paraId="0EA2BC98" w14:textId="77777777" w:rsidR="00755480" w:rsidRPr="00656E54" w:rsidRDefault="00755480" w:rsidP="00755480">
      <w:pPr>
        <w:pStyle w:val="Default"/>
        <w:ind w:right="780"/>
        <w:rPr>
          <w:bCs/>
          <w:sz w:val="23"/>
          <w:szCs w:val="23"/>
          <w:u w:val="single"/>
          <w:lang w:bidi="en-GB"/>
        </w:rPr>
      </w:pPr>
      <w:r w:rsidRPr="00656E54">
        <w:rPr>
          <w:bCs/>
          <w:sz w:val="23"/>
          <w:szCs w:val="23"/>
          <w:u w:val="single"/>
          <w:lang w:bidi="en-GB"/>
        </w:rPr>
        <w:t>Excluded pupils</w:t>
      </w:r>
    </w:p>
    <w:p w14:paraId="1429C2BA" w14:textId="0196B87B" w:rsidR="00755480" w:rsidRPr="00656E54" w:rsidRDefault="00755480" w:rsidP="00656E54">
      <w:pPr>
        <w:pStyle w:val="Default"/>
        <w:numPr>
          <w:ilvl w:val="0"/>
          <w:numId w:val="23"/>
        </w:numPr>
        <w:ind w:right="780"/>
        <w:rPr>
          <w:sz w:val="23"/>
          <w:szCs w:val="23"/>
          <w:lang w:bidi="en-GB"/>
        </w:rPr>
      </w:pPr>
      <w:r w:rsidRPr="00656E54">
        <w:rPr>
          <w:sz w:val="23"/>
          <w:szCs w:val="23"/>
          <w:lang w:bidi="en-GB"/>
        </w:rPr>
        <w:t>Permanently Excluded Children – The Local Authority is required to provide full</w:t>
      </w:r>
      <w:r w:rsidR="005840F6">
        <w:rPr>
          <w:sz w:val="23"/>
          <w:szCs w:val="23"/>
          <w:lang w:bidi="en-GB"/>
        </w:rPr>
        <w:t>-</w:t>
      </w:r>
      <w:r w:rsidRPr="00656E54">
        <w:rPr>
          <w:sz w:val="23"/>
          <w:szCs w:val="23"/>
          <w:lang w:bidi="en-GB"/>
        </w:rPr>
        <w:t xml:space="preserve">time education from the sixth day of exclusion for permanently excluded pupils and for pupils who are suspended from a pupil referral unit for a fixed period of more than </w:t>
      </w:r>
      <w:r w:rsidR="00F501E1">
        <w:rPr>
          <w:sz w:val="23"/>
          <w:szCs w:val="23"/>
          <w:lang w:bidi="en-GB"/>
        </w:rPr>
        <w:t>five</w:t>
      </w:r>
      <w:r w:rsidRPr="00656E54">
        <w:rPr>
          <w:sz w:val="23"/>
          <w:szCs w:val="23"/>
          <w:lang w:bidi="en-GB"/>
        </w:rPr>
        <w:t xml:space="preserve"> days.</w:t>
      </w:r>
    </w:p>
    <w:p w14:paraId="21201331" w14:textId="77777777" w:rsidR="00755480" w:rsidRPr="00656E54" w:rsidRDefault="00755480" w:rsidP="00755480">
      <w:pPr>
        <w:pStyle w:val="Default"/>
        <w:ind w:right="780"/>
        <w:rPr>
          <w:sz w:val="23"/>
          <w:szCs w:val="23"/>
          <w:u w:val="single"/>
          <w:lang w:bidi="en-GB"/>
        </w:rPr>
      </w:pPr>
      <w:r w:rsidRPr="00656E54">
        <w:rPr>
          <w:sz w:val="23"/>
          <w:szCs w:val="23"/>
          <w:lang w:bidi="en-GB"/>
        </w:rPr>
        <w:tab/>
      </w:r>
    </w:p>
    <w:p w14:paraId="668D0C6D" w14:textId="77777777" w:rsidR="00755480" w:rsidRPr="00656E54" w:rsidRDefault="00755480" w:rsidP="00755480">
      <w:pPr>
        <w:pStyle w:val="Default"/>
        <w:ind w:right="780"/>
        <w:rPr>
          <w:bCs/>
          <w:sz w:val="23"/>
          <w:szCs w:val="23"/>
          <w:u w:val="single"/>
          <w:lang w:bidi="en-GB"/>
        </w:rPr>
      </w:pPr>
      <w:r w:rsidRPr="00656E54">
        <w:rPr>
          <w:bCs/>
          <w:sz w:val="23"/>
          <w:szCs w:val="23"/>
          <w:u w:val="single"/>
          <w:lang w:bidi="en-GB"/>
        </w:rPr>
        <w:t>Medical reasons</w:t>
      </w:r>
    </w:p>
    <w:p w14:paraId="4C229254" w14:textId="445D7893" w:rsidR="00755480" w:rsidRPr="00656E54" w:rsidRDefault="00755480" w:rsidP="00656E54">
      <w:pPr>
        <w:pStyle w:val="Default"/>
        <w:numPr>
          <w:ilvl w:val="0"/>
          <w:numId w:val="23"/>
        </w:numPr>
        <w:ind w:right="780"/>
        <w:rPr>
          <w:sz w:val="23"/>
          <w:szCs w:val="23"/>
          <w:lang w:bidi="en-GB"/>
        </w:rPr>
      </w:pPr>
      <w:r w:rsidRPr="00656E54">
        <w:rPr>
          <w:sz w:val="23"/>
          <w:szCs w:val="23"/>
          <w:lang w:bidi="en-GB"/>
        </w:rPr>
        <w:t>Children unable to attend their provision due to medical reasons (normally where the absence is likely to exceed 15 days)</w:t>
      </w:r>
      <w:r w:rsidR="005840F6">
        <w:rPr>
          <w:sz w:val="23"/>
          <w:szCs w:val="23"/>
          <w:lang w:bidi="en-GB"/>
        </w:rPr>
        <w:t>.</w:t>
      </w:r>
    </w:p>
    <w:p w14:paraId="65548D76" w14:textId="77777777" w:rsidR="00755480" w:rsidRPr="00656E54" w:rsidRDefault="00755480" w:rsidP="00755480">
      <w:pPr>
        <w:pStyle w:val="Default"/>
        <w:ind w:right="780"/>
        <w:rPr>
          <w:sz w:val="23"/>
          <w:szCs w:val="23"/>
          <w:lang w:bidi="en-GB"/>
        </w:rPr>
      </w:pPr>
    </w:p>
    <w:p w14:paraId="77C3C5C0" w14:textId="77777777" w:rsidR="00755480" w:rsidRPr="00656E54" w:rsidRDefault="00755480" w:rsidP="00755480">
      <w:pPr>
        <w:pStyle w:val="Default"/>
        <w:ind w:right="780"/>
        <w:rPr>
          <w:sz w:val="23"/>
          <w:szCs w:val="23"/>
          <w:lang w:bidi="en-GB"/>
        </w:rPr>
      </w:pPr>
      <w:r w:rsidRPr="00656E54">
        <w:rPr>
          <w:sz w:val="23"/>
          <w:szCs w:val="23"/>
          <w:u w:val="single"/>
          <w:lang w:bidi="en-GB"/>
        </w:rPr>
        <w:t>Other</w:t>
      </w:r>
      <w:r w:rsidRPr="00656E54">
        <w:rPr>
          <w:sz w:val="23"/>
          <w:szCs w:val="23"/>
          <w:lang w:bidi="en-GB"/>
        </w:rPr>
        <w:t xml:space="preserve"> (‘situation in which it is not reasonably possible or practicable for the child to take advantage of existing suitable schooling’.) – Some examples include:</w:t>
      </w:r>
    </w:p>
    <w:p w14:paraId="2C864772" w14:textId="77777777" w:rsidR="00755480" w:rsidRPr="00656E54" w:rsidRDefault="00755480" w:rsidP="00755480">
      <w:pPr>
        <w:pStyle w:val="Default"/>
        <w:ind w:right="780"/>
        <w:rPr>
          <w:sz w:val="23"/>
          <w:szCs w:val="23"/>
          <w:lang w:bidi="en-GB"/>
        </w:rPr>
      </w:pPr>
    </w:p>
    <w:p w14:paraId="366F9B15" w14:textId="77777777" w:rsidR="00755480" w:rsidRPr="00656E54" w:rsidRDefault="00755480" w:rsidP="00656E54">
      <w:pPr>
        <w:pStyle w:val="Default"/>
        <w:numPr>
          <w:ilvl w:val="0"/>
          <w:numId w:val="23"/>
        </w:numPr>
        <w:ind w:right="780"/>
        <w:rPr>
          <w:sz w:val="23"/>
          <w:szCs w:val="23"/>
          <w:lang w:bidi="en-GB"/>
        </w:rPr>
      </w:pPr>
      <w:r w:rsidRPr="00656E54">
        <w:rPr>
          <w:sz w:val="23"/>
          <w:szCs w:val="23"/>
          <w:lang w:bidi="en-GB"/>
        </w:rPr>
        <w:t>Children new to the area for whom a school place is yet to be identified.</w:t>
      </w:r>
    </w:p>
    <w:p w14:paraId="729D5715" w14:textId="395671EE" w:rsidR="00755480" w:rsidRPr="00656E54" w:rsidRDefault="00755480" w:rsidP="00656E54">
      <w:pPr>
        <w:pStyle w:val="Default"/>
        <w:numPr>
          <w:ilvl w:val="0"/>
          <w:numId w:val="23"/>
        </w:numPr>
        <w:rPr>
          <w:sz w:val="23"/>
          <w:szCs w:val="23"/>
          <w:lang w:bidi="en-GB"/>
        </w:rPr>
      </w:pPr>
      <w:r w:rsidRPr="00656E54">
        <w:rPr>
          <w:sz w:val="23"/>
          <w:szCs w:val="23"/>
          <w:lang w:bidi="en-GB"/>
        </w:rPr>
        <w:t>Children on roll at a provision, where attendance is very poor, and child/parents/professionals are challenging the suitability (often those with an EHCP but not always)</w:t>
      </w:r>
      <w:r w:rsidR="005840F6">
        <w:rPr>
          <w:sz w:val="23"/>
          <w:szCs w:val="23"/>
          <w:lang w:bidi="en-GB"/>
        </w:rPr>
        <w:t>.</w:t>
      </w:r>
    </w:p>
    <w:p w14:paraId="1922B465" w14:textId="77777777" w:rsidR="00755480" w:rsidRPr="00656E54" w:rsidRDefault="00755480" w:rsidP="00656E54">
      <w:pPr>
        <w:pStyle w:val="Default"/>
        <w:numPr>
          <w:ilvl w:val="0"/>
          <w:numId w:val="23"/>
        </w:numPr>
        <w:ind w:right="780"/>
        <w:rPr>
          <w:sz w:val="23"/>
          <w:szCs w:val="23"/>
          <w:lang w:bidi="en-GB"/>
        </w:rPr>
      </w:pPr>
      <w:r w:rsidRPr="00656E54">
        <w:rPr>
          <w:sz w:val="23"/>
          <w:szCs w:val="23"/>
          <w:lang w:bidi="en-GB"/>
        </w:rPr>
        <w:t xml:space="preserve">Children ‘too anxious’ to attend school e.g., Emotionally Based School </w:t>
      </w:r>
      <w:r w:rsidR="00E40F19">
        <w:rPr>
          <w:sz w:val="23"/>
          <w:szCs w:val="23"/>
          <w:lang w:bidi="en-GB"/>
        </w:rPr>
        <w:t>Avoidance</w:t>
      </w:r>
      <w:r w:rsidR="004A7C12">
        <w:rPr>
          <w:sz w:val="23"/>
          <w:szCs w:val="23"/>
          <w:lang w:bidi="en-GB"/>
        </w:rPr>
        <w:t xml:space="preserve"> </w:t>
      </w:r>
      <w:r w:rsidRPr="00656E54">
        <w:rPr>
          <w:sz w:val="23"/>
          <w:szCs w:val="23"/>
          <w:lang w:bidi="en-GB"/>
        </w:rPr>
        <w:t>(EBS</w:t>
      </w:r>
      <w:r w:rsidR="00E40F19">
        <w:rPr>
          <w:sz w:val="23"/>
          <w:szCs w:val="23"/>
          <w:lang w:bidi="en-GB"/>
        </w:rPr>
        <w:t>A</w:t>
      </w:r>
      <w:r w:rsidRPr="00656E54">
        <w:rPr>
          <w:sz w:val="23"/>
          <w:szCs w:val="23"/>
          <w:lang w:bidi="en-GB"/>
        </w:rPr>
        <w:t>), alleged bullying etc.</w:t>
      </w:r>
    </w:p>
    <w:p w14:paraId="636F5298" w14:textId="77777777" w:rsidR="00755480" w:rsidRPr="00656E54" w:rsidRDefault="00755480" w:rsidP="00656E54">
      <w:pPr>
        <w:pStyle w:val="Default"/>
        <w:numPr>
          <w:ilvl w:val="0"/>
          <w:numId w:val="23"/>
        </w:numPr>
        <w:ind w:right="780"/>
        <w:rPr>
          <w:sz w:val="23"/>
          <w:szCs w:val="23"/>
          <w:lang w:bidi="en-GB"/>
        </w:rPr>
      </w:pPr>
      <w:r w:rsidRPr="00656E54">
        <w:rPr>
          <w:sz w:val="23"/>
          <w:szCs w:val="23"/>
          <w:lang w:bidi="en-GB"/>
        </w:rPr>
        <w:t>Children resident in Herefordshire, where parents are neither seeking to secure education nor</w:t>
      </w:r>
      <w:r w:rsidR="00E40F19">
        <w:rPr>
          <w:sz w:val="23"/>
          <w:szCs w:val="23"/>
          <w:lang w:bidi="en-GB"/>
        </w:rPr>
        <w:t xml:space="preserve"> electing</w:t>
      </w:r>
      <w:r w:rsidR="004A7C12">
        <w:rPr>
          <w:sz w:val="23"/>
          <w:szCs w:val="23"/>
          <w:lang w:bidi="en-GB"/>
        </w:rPr>
        <w:t xml:space="preserve"> to educate their children</w:t>
      </w:r>
      <w:r w:rsidRPr="00656E54">
        <w:rPr>
          <w:sz w:val="23"/>
          <w:szCs w:val="23"/>
          <w:lang w:bidi="en-GB"/>
        </w:rPr>
        <w:t xml:space="preserve"> at home (EHE).</w:t>
      </w:r>
    </w:p>
    <w:p w14:paraId="40C06B22" w14:textId="77777777" w:rsidR="00755480" w:rsidRPr="00656E54" w:rsidRDefault="00755480" w:rsidP="00755480">
      <w:pPr>
        <w:pStyle w:val="Default"/>
        <w:ind w:right="780"/>
        <w:rPr>
          <w:sz w:val="23"/>
          <w:szCs w:val="23"/>
          <w:lang w:bidi="en-GB"/>
        </w:rPr>
      </w:pPr>
    </w:p>
    <w:p w14:paraId="30DACFFE" w14:textId="77777777" w:rsidR="00755480" w:rsidRPr="00656E54" w:rsidRDefault="00755480" w:rsidP="00755480">
      <w:pPr>
        <w:pStyle w:val="Default"/>
        <w:ind w:right="780"/>
        <w:rPr>
          <w:sz w:val="23"/>
          <w:szCs w:val="23"/>
          <w:lang w:bidi="en-GB"/>
        </w:rPr>
      </w:pPr>
      <w:r w:rsidRPr="00656E54">
        <w:rPr>
          <w:sz w:val="23"/>
          <w:szCs w:val="23"/>
          <w:lang w:bidi="en-GB"/>
        </w:rPr>
        <w:t xml:space="preserve">For the Section 19 duty to be satisfied, it is important to ensure that the Local Authority and schools work together, in the best interests of all children, within an inclusive education system. The alternative </w:t>
      </w:r>
      <w:r w:rsidRPr="00656E54">
        <w:rPr>
          <w:sz w:val="23"/>
          <w:szCs w:val="23"/>
          <w:lang w:bidi="en-GB"/>
        </w:rPr>
        <w:lastRenderedPageBreak/>
        <w:t>provision offer running alongside mainstream and special schools must be flexible, clear and coherent, containing sufficient high-quality places and support to meet the needs of pupils when they need it.</w:t>
      </w:r>
    </w:p>
    <w:p w14:paraId="556A188A" w14:textId="77777777" w:rsidR="00755480" w:rsidRPr="00656E54" w:rsidRDefault="00755480" w:rsidP="00755480">
      <w:pPr>
        <w:pStyle w:val="Default"/>
        <w:ind w:right="780"/>
        <w:rPr>
          <w:sz w:val="23"/>
          <w:szCs w:val="23"/>
          <w:lang w:bidi="en-GB"/>
        </w:rPr>
      </w:pPr>
    </w:p>
    <w:p w14:paraId="623C5B18" w14:textId="63E16E71" w:rsidR="00755480" w:rsidRPr="00656E54" w:rsidRDefault="00755480" w:rsidP="00755480">
      <w:pPr>
        <w:pStyle w:val="Default"/>
        <w:ind w:right="780"/>
        <w:rPr>
          <w:sz w:val="23"/>
          <w:szCs w:val="23"/>
          <w:lang w:bidi="en-GB"/>
        </w:rPr>
      </w:pPr>
      <w:r w:rsidRPr="00656E54">
        <w:rPr>
          <w:sz w:val="23"/>
          <w:szCs w:val="23"/>
          <w:lang w:bidi="en-GB"/>
        </w:rPr>
        <w:t>The Local Authority is confident that schools will always take all necessary action and appropriate measures to support the children on their roll to have access to and engagement in full</w:t>
      </w:r>
      <w:r w:rsidR="005840F6">
        <w:rPr>
          <w:sz w:val="23"/>
          <w:szCs w:val="23"/>
          <w:lang w:bidi="en-GB"/>
        </w:rPr>
        <w:t>-</w:t>
      </w:r>
      <w:r w:rsidRPr="00656E54">
        <w:rPr>
          <w:sz w:val="23"/>
          <w:szCs w:val="23"/>
          <w:lang w:bidi="en-GB"/>
        </w:rPr>
        <w:t>time education. This will include the commissioning of off-site professional services and short or long-term alternative provision placements.</w:t>
      </w:r>
    </w:p>
    <w:p w14:paraId="407F9650" w14:textId="77777777" w:rsidR="00755480" w:rsidRPr="00656E54" w:rsidRDefault="00755480" w:rsidP="00755480">
      <w:pPr>
        <w:pStyle w:val="Default"/>
        <w:ind w:right="780"/>
        <w:rPr>
          <w:sz w:val="23"/>
          <w:szCs w:val="23"/>
          <w:lang w:bidi="en-GB"/>
        </w:rPr>
      </w:pPr>
    </w:p>
    <w:p w14:paraId="79B658CB" w14:textId="77777777" w:rsidR="00755480" w:rsidRPr="00656E54" w:rsidRDefault="00755480" w:rsidP="00755480">
      <w:pPr>
        <w:pStyle w:val="Default"/>
        <w:ind w:right="780"/>
        <w:rPr>
          <w:sz w:val="23"/>
          <w:szCs w:val="23"/>
          <w:lang w:bidi="en-GB"/>
        </w:rPr>
      </w:pPr>
      <w:r w:rsidRPr="00656E54">
        <w:rPr>
          <w:sz w:val="23"/>
          <w:szCs w:val="23"/>
          <w:lang w:bidi="en-GB"/>
        </w:rPr>
        <w:t>Depending on the reason a child requires alternative provision, placements may be commissioned and funded by either local authorities or schools. It is generally expected by government that schools commission and fund AP placements for pupils on their roll where it is necessary to ensure such children receive a suitable full-time education. Local authorities would generally be responsible for funding provision for excluded pupils and pupils that do not have a school place. It is up to the school or the local authority to determine the most appropriate alternative provision for the child, but they should take account of the views of the child, their parents and other professionals.</w:t>
      </w:r>
    </w:p>
    <w:p w14:paraId="63796CDD" w14:textId="77777777" w:rsidR="00755480" w:rsidRPr="00656E54" w:rsidRDefault="00755480" w:rsidP="00755480">
      <w:pPr>
        <w:pStyle w:val="Default"/>
        <w:ind w:right="780"/>
        <w:rPr>
          <w:sz w:val="23"/>
          <w:szCs w:val="23"/>
          <w:lang w:bidi="en-GB"/>
        </w:rPr>
      </w:pPr>
    </w:p>
    <w:p w14:paraId="445243B6" w14:textId="77777777" w:rsidR="00755480" w:rsidRPr="00FC7075" w:rsidRDefault="00755480" w:rsidP="006B4075">
      <w:pPr>
        <w:pStyle w:val="Heading2"/>
      </w:pPr>
      <w:bookmarkStart w:id="7" w:name="_Toc197506911"/>
      <w:r w:rsidRPr="00FC7075">
        <w:t>Routes into Alternative Provision and funding responsibilities</w:t>
      </w:r>
      <w:bookmarkEnd w:id="7"/>
    </w:p>
    <w:p w14:paraId="22FC6666" w14:textId="77777777" w:rsidR="00755480" w:rsidRPr="00656E54" w:rsidRDefault="00755480" w:rsidP="00755480">
      <w:pPr>
        <w:pStyle w:val="Default"/>
        <w:ind w:right="780"/>
        <w:rPr>
          <w:sz w:val="23"/>
          <w:szCs w:val="23"/>
          <w:lang w:bidi="en-GB"/>
        </w:rPr>
      </w:pPr>
    </w:p>
    <w:tbl>
      <w:tblPr>
        <w:tblStyle w:val="TableGridLight"/>
        <w:tblW w:w="0" w:type="auto"/>
        <w:jc w:val="center"/>
        <w:tblLayout w:type="fixed"/>
        <w:tblLook w:val="01E0" w:firstRow="1" w:lastRow="1" w:firstColumn="1" w:lastColumn="1" w:noHBand="0" w:noVBand="0"/>
        <w:tblCaption w:val="Routes into alternative provison and funding responsibilites table"/>
        <w:tblDescription w:val="This table explains the descriptions of routes into alternative provison, who the commisioner is, the lump sum funding, the top up funding and the registration."/>
      </w:tblPr>
      <w:tblGrid>
        <w:gridCol w:w="3397"/>
        <w:gridCol w:w="1701"/>
        <w:gridCol w:w="1418"/>
        <w:gridCol w:w="1701"/>
        <w:gridCol w:w="2410"/>
      </w:tblGrid>
      <w:tr w:rsidR="00FC7075" w:rsidRPr="00FC7075" w14:paraId="77C38BAA" w14:textId="77777777" w:rsidTr="006B4075">
        <w:trPr>
          <w:tblHeader/>
          <w:jc w:val="center"/>
        </w:trPr>
        <w:tc>
          <w:tcPr>
            <w:tcW w:w="3397" w:type="dxa"/>
            <w:shd w:val="clear" w:color="auto" w:fill="9CC2E5" w:themeFill="accent1" w:themeFillTint="99"/>
          </w:tcPr>
          <w:p w14:paraId="47F12342" w14:textId="77777777" w:rsidR="00755480" w:rsidRPr="00656E54" w:rsidRDefault="00755480" w:rsidP="00656E54">
            <w:pPr>
              <w:pStyle w:val="Default"/>
              <w:jc w:val="center"/>
              <w:rPr>
                <w:b/>
                <w:sz w:val="20"/>
                <w:szCs w:val="20"/>
                <w:lang w:bidi="en-GB"/>
              </w:rPr>
            </w:pPr>
            <w:r w:rsidRPr="00656E54">
              <w:rPr>
                <w:b/>
                <w:sz w:val="20"/>
                <w:szCs w:val="20"/>
                <w:lang w:bidi="en-GB"/>
              </w:rPr>
              <w:t>Description of routes into Alternative Provision</w:t>
            </w:r>
          </w:p>
        </w:tc>
        <w:tc>
          <w:tcPr>
            <w:tcW w:w="1701" w:type="dxa"/>
            <w:shd w:val="clear" w:color="auto" w:fill="9CC2E5" w:themeFill="accent1" w:themeFillTint="99"/>
          </w:tcPr>
          <w:p w14:paraId="08E26A67" w14:textId="77777777" w:rsidR="00755480" w:rsidRPr="00656E54" w:rsidRDefault="00FC7075" w:rsidP="00656E54">
            <w:pPr>
              <w:pStyle w:val="Default"/>
              <w:jc w:val="center"/>
              <w:rPr>
                <w:b/>
                <w:sz w:val="20"/>
                <w:szCs w:val="20"/>
                <w:lang w:bidi="en-GB"/>
              </w:rPr>
            </w:pPr>
            <w:r w:rsidRPr="00656E54">
              <w:rPr>
                <w:b/>
                <w:sz w:val="20"/>
                <w:szCs w:val="20"/>
                <w:lang w:bidi="en-GB"/>
              </w:rPr>
              <w:t>Commissione</w:t>
            </w:r>
            <w:r w:rsidR="00755480" w:rsidRPr="00656E54">
              <w:rPr>
                <w:b/>
                <w:sz w:val="20"/>
                <w:szCs w:val="20"/>
                <w:lang w:bidi="en-GB"/>
              </w:rPr>
              <w:t>r</w:t>
            </w:r>
          </w:p>
        </w:tc>
        <w:tc>
          <w:tcPr>
            <w:tcW w:w="1418" w:type="dxa"/>
            <w:shd w:val="clear" w:color="auto" w:fill="9CC2E5" w:themeFill="accent1" w:themeFillTint="99"/>
          </w:tcPr>
          <w:p w14:paraId="7118B992" w14:textId="77777777" w:rsidR="00755480" w:rsidRPr="00656E54" w:rsidRDefault="00755480" w:rsidP="00656E54">
            <w:pPr>
              <w:pStyle w:val="Default"/>
              <w:jc w:val="center"/>
              <w:rPr>
                <w:b/>
                <w:sz w:val="20"/>
                <w:szCs w:val="20"/>
                <w:lang w:bidi="en-GB"/>
              </w:rPr>
            </w:pPr>
            <w:r w:rsidRPr="00656E54">
              <w:rPr>
                <w:b/>
                <w:sz w:val="20"/>
                <w:szCs w:val="20"/>
                <w:lang w:bidi="en-GB"/>
              </w:rPr>
              <w:t>Lump Sum Funding</w:t>
            </w:r>
          </w:p>
          <w:p w14:paraId="5C94132B" w14:textId="77777777" w:rsidR="00755480" w:rsidRPr="00656E54" w:rsidRDefault="00755480" w:rsidP="00656E54">
            <w:pPr>
              <w:pStyle w:val="Default"/>
              <w:jc w:val="center"/>
              <w:rPr>
                <w:b/>
                <w:sz w:val="20"/>
                <w:szCs w:val="20"/>
                <w:lang w:bidi="en-GB"/>
              </w:rPr>
            </w:pPr>
          </w:p>
        </w:tc>
        <w:tc>
          <w:tcPr>
            <w:tcW w:w="1701" w:type="dxa"/>
            <w:shd w:val="clear" w:color="auto" w:fill="9CC2E5" w:themeFill="accent1" w:themeFillTint="99"/>
          </w:tcPr>
          <w:p w14:paraId="37B03FA6" w14:textId="77777777" w:rsidR="00755480" w:rsidRPr="00656E54" w:rsidRDefault="00755480" w:rsidP="00656E54">
            <w:pPr>
              <w:pStyle w:val="Default"/>
              <w:jc w:val="center"/>
              <w:rPr>
                <w:b/>
                <w:sz w:val="20"/>
                <w:szCs w:val="20"/>
                <w:lang w:bidi="en-GB"/>
              </w:rPr>
            </w:pPr>
            <w:r w:rsidRPr="00656E54">
              <w:rPr>
                <w:b/>
                <w:sz w:val="20"/>
                <w:szCs w:val="20"/>
                <w:lang w:bidi="en-GB"/>
              </w:rPr>
              <w:t>Top Up Funding</w:t>
            </w:r>
          </w:p>
          <w:p w14:paraId="7F8693C6" w14:textId="77777777" w:rsidR="00755480" w:rsidRPr="00656E54" w:rsidRDefault="00755480" w:rsidP="00656E54">
            <w:pPr>
              <w:pStyle w:val="Default"/>
              <w:jc w:val="center"/>
              <w:rPr>
                <w:b/>
                <w:sz w:val="20"/>
                <w:szCs w:val="20"/>
                <w:lang w:bidi="en-GB"/>
              </w:rPr>
            </w:pPr>
            <w:r w:rsidRPr="00656E54">
              <w:rPr>
                <w:b/>
                <w:sz w:val="20"/>
                <w:szCs w:val="20"/>
                <w:lang w:bidi="en-GB"/>
              </w:rPr>
              <w:t>£ variable</w:t>
            </w:r>
          </w:p>
        </w:tc>
        <w:tc>
          <w:tcPr>
            <w:tcW w:w="2410" w:type="dxa"/>
            <w:shd w:val="clear" w:color="auto" w:fill="9CC2E5" w:themeFill="accent1" w:themeFillTint="99"/>
          </w:tcPr>
          <w:p w14:paraId="68E01647" w14:textId="77777777" w:rsidR="00755480" w:rsidRPr="00656E54" w:rsidRDefault="00755480" w:rsidP="00656E54">
            <w:pPr>
              <w:pStyle w:val="Default"/>
              <w:jc w:val="center"/>
              <w:rPr>
                <w:b/>
                <w:sz w:val="20"/>
                <w:szCs w:val="20"/>
                <w:lang w:bidi="en-GB"/>
              </w:rPr>
            </w:pPr>
            <w:r w:rsidRPr="00656E54">
              <w:rPr>
                <w:b/>
                <w:sz w:val="20"/>
                <w:szCs w:val="20"/>
                <w:lang w:bidi="en-GB"/>
              </w:rPr>
              <w:t>Registration</w:t>
            </w:r>
          </w:p>
        </w:tc>
      </w:tr>
      <w:tr w:rsidR="007363E7" w:rsidRPr="00FC7075" w14:paraId="68E05C1E" w14:textId="77777777" w:rsidTr="00656E54">
        <w:trPr>
          <w:jc w:val="center"/>
        </w:trPr>
        <w:tc>
          <w:tcPr>
            <w:tcW w:w="3397" w:type="dxa"/>
          </w:tcPr>
          <w:p w14:paraId="23D1EBDA" w14:textId="77777777" w:rsidR="007363E7" w:rsidRPr="00656E54" w:rsidRDefault="007363E7" w:rsidP="007363E7">
            <w:pPr>
              <w:pStyle w:val="Default"/>
              <w:jc w:val="center"/>
              <w:rPr>
                <w:sz w:val="20"/>
                <w:szCs w:val="20"/>
                <w:lang w:bidi="en-GB"/>
              </w:rPr>
            </w:pPr>
            <w:r w:rsidRPr="00656E54">
              <w:rPr>
                <w:sz w:val="20"/>
                <w:szCs w:val="20"/>
                <w:lang w:bidi="en-GB"/>
              </w:rPr>
              <w:t>From 6th day following Permanent Exclusion</w:t>
            </w:r>
          </w:p>
        </w:tc>
        <w:tc>
          <w:tcPr>
            <w:tcW w:w="1701" w:type="dxa"/>
          </w:tcPr>
          <w:p w14:paraId="4751BDAC" w14:textId="77777777" w:rsidR="007363E7" w:rsidRPr="00656E54" w:rsidRDefault="007363E7" w:rsidP="007363E7">
            <w:pPr>
              <w:pStyle w:val="Default"/>
              <w:jc w:val="center"/>
              <w:rPr>
                <w:sz w:val="20"/>
                <w:szCs w:val="20"/>
                <w:lang w:bidi="en-GB"/>
              </w:rPr>
            </w:pPr>
            <w:r w:rsidRPr="00656E54">
              <w:rPr>
                <w:sz w:val="20"/>
                <w:szCs w:val="20"/>
                <w:lang w:bidi="en-GB"/>
              </w:rPr>
              <w:t>LA</w:t>
            </w:r>
          </w:p>
        </w:tc>
        <w:tc>
          <w:tcPr>
            <w:tcW w:w="1418" w:type="dxa"/>
          </w:tcPr>
          <w:p w14:paraId="25E64128" w14:textId="77777777" w:rsidR="007363E7" w:rsidRPr="00656E54" w:rsidRDefault="007363E7" w:rsidP="007363E7">
            <w:pPr>
              <w:pStyle w:val="Default"/>
              <w:jc w:val="center"/>
              <w:rPr>
                <w:sz w:val="20"/>
                <w:szCs w:val="20"/>
                <w:lang w:bidi="en-GB"/>
              </w:rPr>
            </w:pPr>
            <w:r>
              <w:rPr>
                <w:sz w:val="20"/>
                <w:szCs w:val="20"/>
                <w:lang w:bidi="en-GB"/>
              </w:rPr>
              <w:t xml:space="preserve">School by local agreement </w:t>
            </w:r>
          </w:p>
        </w:tc>
        <w:tc>
          <w:tcPr>
            <w:tcW w:w="1701" w:type="dxa"/>
          </w:tcPr>
          <w:p w14:paraId="0D5E74ED" w14:textId="77777777" w:rsidR="007363E7" w:rsidRPr="00656E54" w:rsidRDefault="007363E7" w:rsidP="007363E7">
            <w:pPr>
              <w:pStyle w:val="Default"/>
              <w:jc w:val="center"/>
              <w:rPr>
                <w:sz w:val="20"/>
                <w:szCs w:val="20"/>
                <w:lang w:bidi="en-GB"/>
              </w:rPr>
            </w:pPr>
            <w:r>
              <w:rPr>
                <w:sz w:val="20"/>
                <w:szCs w:val="20"/>
                <w:lang w:bidi="en-GB"/>
              </w:rPr>
              <w:t xml:space="preserve">Recovery of AWPU from school </w:t>
            </w:r>
          </w:p>
        </w:tc>
        <w:tc>
          <w:tcPr>
            <w:tcW w:w="2410" w:type="dxa"/>
          </w:tcPr>
          <w:p w14:paraId="7BB84FF5" w14:textId="77777777" w:rsidR="007363E7" w:rsidRPr="00656E54" w:rsidRDefault="007363E7" w:rsidP="007363E7">
            <w:pPr>
              <w:pStyle w:val="Default"/>
              <w:jc w:val="center"/>
              <w:rPr>
                <w:sz w:val="20"/>
                <w:szCs w:val="20"/>
                <w:lang w:bidi="en-GB"/>
              </w:rPr>
            </w:pPr>
            <w:r w:rsidRPr="00656E54">
              <w:rPr>
                <w:sz w:val="20"/>
                <w:szCs w:val="20"/>
                <w:lang w:bidi="en-GB"/>
              </w:rPr>
              <w:t>Dual initially then single registration alternative provision.</w:t>
            </w:r>
          </w:p>
        </w:tc>
      </w:tr>
      <w:tr w:rsidR="007363E7" w:rsidRPr="00FC7075" w14:paraId="4D2B99B9" w14:textId="77777777" w:rsidTr="00656E54">
        <w:trPr>
          <w:jc w:val="center"/>
        </w:trPr>
        <w:tc>
          <w:tcPr>
            <w:tcW w:w="3397" w:type="dxa"/>
          </w:tcPr>
          <w:p w14:paraId="023ADD51" w14:textId="77777777" w:rsidR="007363E7" w:rsidRPr="00656E54" w:rsidRDefault="007363E7" w:rsidP="007363E7">
            <w:pPr>
              <w:pStyle w:val="Default"/>
              <w:jc w:val="center"/>
              <w:rPr>
                <w:sz w:val="20"/>
                <w:szCs w:val="20"/>
                <w:lang w:bidi="en-GB"/>
              </w:rPr>
            </w:pPr>
            <w:r w:rsidRPr="00656E54">
              <w:rPr>
                <w:sz w:val="20"/>
                <w:szCs w:val="20"/>
                <w:lang w:bidi="en-GB"/>
              </w:rPr>
              <w:t>Health reasons – including physical or mental health needs</w:t>
            </w:r>
          </w:p>
        </w:tc>
        <w:tc>
          <w:tcPr>
            <w:tcW w:w="1701" w:type="dxa"/>
          </w:tcPr>
          <w:p w14:paraId="27492DEA" w14:textId="77777777" w:rsidR="007363E7" w:rsidRPr="00656E54" w:rsidRDefault="007363E7" w:rsidP="007363E7">
            <w:pPr>
              <w:pStyle w:val="Default"/>
              <w:jc w:val="center"/>
              <w:rPr>
                <w:sz w:val="20"/>
                <w:szCs w:val="20"/>
                <w:lang w:bidi="en-GB"/>
              </w:rPr>
            </w:pPr>
            <w:r w:rsidRPr="00656E54">
              <w:rPr>
                <w:sz w:val="20"/>
                <w:szCs w:val="20"/>
                <w:lang w:bidi="en-GB"/>
              </w:rPr>
              <w:t>LA/School</w:t>
            </w:r>
          </w:p>
        </w:tc>
        <w:tc>
          <w:tcPr>
            <w:tcW w:w="1418" w:type="dxa"/>
          </w:tcPr>
          <w:p w14:paraId="3D733A69"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701" w:type="dxa"/>
          </w:tcPr>
          <w:p w14:paraId="089494CE"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2410" w:type="dxa"/>
          </w:tcPr>
          <w:p w14:paraId="471D6153" w14:textId="77777777" w:rsidR="007363E7" w:rsidRPr="00656E54" w:rsidRDefault="007363E7" w:rsidP="007363E7">
            <w:pPr>
              <w:pStyle w:val="Default"/>
              <w:jc w:val="center"/>
              <w:rPr>
                <w:sz w:val="20"/>
                <w:szCs w:val="20"/>
                <w:lang w:bidi="en-GB"/>
              </w:rPr>
            </w:pPr>
            <w:r w:rsidRPr="00656E54">
              <w:rPr>
                <w:sz w:val="20"/>
                <w:szCs w:val="20"/>
                <w:lang w:bidi="en-GB"/>
              </w:rPr>
              <w:t>Dual, School main</w:t>
            </w:r>
          </w:p>
        </w:tc>
      </w:tr>
      <w:tr w:rsidR="007363E7" w:rsidRPr="00FC7075" w14:paraId="2B881173" w14:textId="77777777" w:rsidTr="00656E54">
        <w:trPr>
          <w:jc w:val="center"/>
        </w:trPr>
        <w:tc>
          <w:tcPr>
            <w:tcW w:w="3397" w:type="dxa"/>
          </w:tcPr>
          <w:p w14:paraId="1CB52F9E" w14:textId="77777777" w:rsidR="007363E7" w:rsidRPr="00656E54" w:rsidRDefault="007363E7" w:rsidP="007363E7">
            <w:pPr>
              <w:pStyle w:val="Default"/>
              <w:jc w:val="center"/>
              <w:rPr>
                <w:sz w:val="20"/>
                <w:szCs w:val="20"/>
                <w:lang w:bidi="en-GB"/>
              </w:rPr>
            </w:pPr>
            <w:r w:rsidRPr="00656E54">
              <w:rPr>
                <w:sz w:val="20"/>
                <w:szCs w:val="20"/>
                <w:lang w:bidi="en-GB"/>
              </w:rPr>
              <w:t>Where a child requires interim provision whilst awaiting placement in a school</w:t>
            </w:r>
          </w:p>
        </w:tc>
        <w:tc>
          <w:tcPr>
            <w:tcW w:w="1701" w:type="dxa"/>
          </w:tcPr>
          <w:p w14:paraId="6DF078F8" w14:textId="77777777" w:rsidR="007363E7" w:rsidRPr="00656E54" w:rsidRDefault="007363E7" w:rsidP="007363E7">
            <w:pPr>
              <w:pStyle w:val="Default"/>
              <w:jc w:val="center"/>
              <w:rPr>
                <w:sz w:val="20"/>
                <w:szCs w:val="20"/>
                <w:lang w:bidi="en-GB"/>
              </w:rPr>
            </w:pPr>
            <w:r w:rsidRPr="00656E54">
              <w:rPr>
                <w:sz w:val="20"/>
                <w:szCs w:val="20"/>
                <w:lang w:bidi="en-GB"/>
              </w:rPr>
              <w:t>LA</w:t>
            </w:r>
          </w:p>
        </w:tc>
        <w:tc>
          <w:tcPr>
            <w:tcW w:w="1418" w:type="dxa"/>
          </w:tcPr>
          <w:p w14:paraId="3D5DA141" w14:textId="77777777" w:rsidR="007363E7" w:rsidRPr="00656E54" w:rsidRDefault="007363E7" w:rsidP="007363E7">
            <w:pPr>
              <w:pStyle w:val="Default"/>
              <w:jc w:val="center"/>
              <w:rPr>
                <w:sz w:val="20"/>
                <w:szCs w:val="20"/>
                <w:lang w:bidi="en-GB"/>
              </w:rPr>
            </w:pPr>
            <w:r w:rsidRPr="00656E54">
              <w:rPr>
                <w:sz w:val="20"/>
                <w:szCs w:val="20"/>
                <w:lang w:bidi="en-GB"/>
              </w:rPr>
              <w:t>LA</w:t>
            </w:r>
          </w:p>
        </w:tc>
        <w:tc>
          <w:tcPr>
            <w:tcW w:w="1701" w:type="dxa"/>
          </w:tcPr>
          <w:p w14:paraId="4C000877" w14:textId="77777777" w:rsidR="007363E7" w:rsidRPr="00656E54" w:rsidRDefault="007363E7" w:rsidP="007363E7">
            <w:pPr>
              <w:pStyle w:val="Default"/>
              <w:jc w:val="center"/>
              <w:rPr>
                <w:sz w:val="20"/>
                <w:szCs w:val="20"/>
                <w:lang w:bidi="en-GB"/>
              </w:rPr>
            </w:pPr>
            <w:r w:rsidRPr="00656E54">
              <w:rPr>
                <w:sz w:val="20"/>
                <w:szCs w:val="20"/>
                <w:lang w:bidi="en-GB"/>
              </w:rPr>
              <w:t>LA</w:t>
            </w:r>
          </w:p>
        </w:tc>
        <w:tc>
          <w:tcPr>
            <w:tcW w:w="2410" w:type="dxa"/>
          </w:tcPr>
          <w:p w14:paraId="38518C81" w14:textId="77777777" w:rsidR="007363E7" w:rsidRPr="00656E54" w:rsidRDefault="007363E7" w:rsidP="007363E7">
            <w:pPr>
              <w:pStyle w:val="Default"/>
              <w:jc w:val="center"/>
              <w:rPr>
                <w:sz w:val="20"/>
                <w:szCs w:val="20"/>
                <w:lang w:bidi="en-GB"/>
              </w:rPr>
            </w:pPr>
            <w:r w:rsidRPr="00656E54">
              <w:rPr>
                <w:sz w:val="20"/>
                <w:szCs w:val="20"/>
                <w:lang w:bidi="en-GB"/>
              </w:rPr>
              <w:t>Single registration alternative provision</w:t>
            </w:r>
          </w:p>
        </w:tc>
      </w:tr>
      <w:tr w:rsidR="007363E7" w:rsidRPr="00FC7075" w14:paraId="78E96540" w14:textId="77777777" w:rsidTr="00656E54">
        <w:trPr>
          <w:jc w:val="center"/>
        </w:trPr>
        <w:tc>
          <w:tcPr>
            <w:tcW w:w="3397" w:type="dxa"/>
          </w:tcPr>
          <w:p w14:paraId="1E12216D" w14:textId="77777777" w:rsidR="007363E7" w:rsidRPr="00656E54" w:rsidRDefault="007363E7" w:rsidP="007363E7">
            <w:pPr>
              <w:pStyle w:val="Default"/>
              <w:jc w:val="center"/>
              <w:rPr>
                <w:sz w:val="20"/>
                <w:szCs w:val="20"/>
                <w:lang w:bidi="en-GB"/>
              </w:rPr>
            </w:pPr>
            <w:r w:rsidRPr="00656E54">
              <w:rPr>
                <w:sz w:val="20"/>
                <w:szCs w:val="20"/>
                <w:lang w:bidi="en-GB"/>
              </w:rPr>
              <w:t>Children requiring short term assessment or intervention provision to support reintegration back into their home school or transition to</w:t>
            </w:r>
          </w:p>
          <w:p w14:paraId="3899125D" w14:textId="77777777" w:rsidR="007363E7" w:rsidRPr="00656E54" w:rsidRDefault="007363E7" w:rsidP="007363E7">
            <w:pPr>
              <w:pStyle w:val="Default"/>
              <w:jc w:val="center"/>
              <w:rPr>
                <w:sz w:val="20"/>
                <w:szCs w:val="20"/>
                <w:lang w:bidi="en-GB"/>
              </w:rPr>
            </w:pPr>
            <w:r w:rsidRPr="00656E54">
              <w:rPr>
                <w:sz w:val="20"/>
                <w:szCs w:val="20"/>
                <w:lang w:bidi="en-GB"/>
              </w:rPr>
              <w:t>a different type of provision</w:t>
            </w:r>
          </w:p>
        </w:tc>
        <w:tc>
          <w:tcPr>
            <w:tcW w:w="1701" w:type="dxa"/>
          </w:tcPr>
          <w:p w14:paraId="6362435D"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418" w:type="dxa"/>
          </w:tcPr>
          <w:p w14:paraId="4BBF2EDC" w14:textId="77777777" w:rsidR="007363E7" w:rsidRPr="00656E54" w:rsidRDefault="007363E7" w:rsidP="007363E7">
            <w:pPr>
              <w:pStyle w:val="Default"/>
              <w:jc w:val="center"/>
              <w:rPr>
                <w:sz w:val="20"/>
                <w:szCs w:val="20"/>
                <w:lang w:bidi="en-GB"/>
              </w:rPr>
            </w:pPr>
            <w:r w:rsidRPr="00656E54">
              <w:rPr>
                <w:sz w:val="20"/>
                <w:szCs w:val="20"/>
                <w:lang w:bidi="en-GB"/>
              </w:rPr>
              <w:t>LA/School</w:t>
            </w:r>
          </w:p>
        </w:tc>
        <w:tc>
          <w:tcPr>
            <w:tcW w:w="1701" w:type="dxa"/>
          </w:tcPr>
          <w:p w14:paraId="0075933B"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2410" w:type="dxa"/>
          </w:tcPr>
          <w:p w14:paraId="399DE1BA" w14:textId="77777777" w:rsidR="007363E7" w:rsidRPr="00656E54" w:rsidRDefault="007363E7" w:rsidP="007363E7">
            <w:pPr>
              <w:pStyle w:val="Default"/>
              <w:jc w:val="center"/>
              <w:rPr>
                <w:sz w:val="20"/>
                <w:szCs w:val="20"/>
                <w:lang w:bidi="en-GB"/>
              </w:rPr>
            </w:pPr>
            <w:r w:rsidRPr="00656E54">
              <w:rPr>
                <w:sz w:val="20"/>
                <w:szCs w:val="20"/>
                <w:lang w:bidi="en-GB"/>
              </w:rPr>
              <w:t>Dual, School main</w:t>
            </w:r>
          </w:p>
        </w:tc>
      </w:tr>
      <w:tr w:rsidR="007363E7" w:rsidRPr="00FC7075" w14:paraId="514EF913" w14:textId="77777777" w:rsidTr="00656E54">
        <w:trPr>
          <w:trHeight w:val="924"/>
          <w:jc w:val="center"/>
        </w:trPr>
        <w:tc>
          <w:tcPr>
            <w:tcW w:w="3397" w:type="dxa"/>
          </w:tcPr>
          <w:p w14:paraId="2CDE34E6" w14:textId="77777777" w:rsidR="007363E7" w:rsidRDefault="007363E7" w:rsidP="007363E7">
            <w:pPr>
              <w:pStyle w:val="Default"/>
              <w:jc w:val="center"/>
              <w:rPr>
                <w:sz w:val="20"/>
                <w:szCs w:val="20"/>
                <w:lang w:bidi="en-GB"/>
              </w:rPr>
            </w:pPr>
            <w:r w:rsidRPr="00656E54">
              <w:rPr>
                <w:sz w:val="20"/>
                <w:szCs w:val="20"/>
                <w:lang w:bidi="en-GB"/>
              </w:rPr>
              <w:t xml:space="preserve">Behaviour which results in a suspension for more than 5 days* or an off-site direction by the </w:t>
            </w:r>
          </w:p>
          <w:p w14:paraId="63A01DB7"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701" w:type="dxa"/>
          </w:tcPr>
          <w:p w14:paraId="10A0DE3C"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418" w:type="dxa"/>
          </w:tcPr>
          <w:p w14:paraId="067A54BB"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701" w:type="dxa"/>
          </w:tcPr>
          <w:p w14:paraId="1E112E80"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2410" w:type="dxa"/>
          </w:tcPr>
          <w:p w14:paraId="1431B08E" w14:textId="77777777" w:rsidR="007363E7" w:rsidRPr="00656E54" w:rsidRDefault="007363E7" w:rsidP="007363E7">
            <w:pPr>
              <w:pStyle w:val="Default"/>
              <w:jc w:val="center"/>
              <w:rPr>
                <w:sz w:val="20"/>
                <w:szCs w:val="20"/>
                <w:lang w:bidi="en-GB"/>
              </w:rPr>
            </w:pPr>
            <w:r w:rsidRPr="00656E54">
              <w:rPr>
                <w:sz w:val="20"/>
                <w:szCs w:val="20"/>
                <w:lang w:bidi="en-GB"/>
              </w:rPr>
              <w:t>Dual, School main</w:t>
            </w:r>
          </w:p>
        </w:tc>
      </w:tr>
      <w:tr w:rsidR="007363E7" w:rsidRPr="00FC7075" w14:paraId="03031970" w14:textId="77777777" w:rsidTr="00FC7075">
        <w:trPr>
          <w:jc w:val="center"/>
        </w:trPr>
        <w:tc>
          <w:tcPr>
            <w:tcW w:w="3397" w:type="dxa"/>
          </w:tcPr>
          <w:p w14:paraId="5DB61E4D" w14:textId="77777777" w:rsidR="007363E7" w:rsidRPr="00656E54" w:rsidRDefault="007363E7" w:rsidP="007363E7">
            <w:pPr>
              <w:pStyle w:val="Default"/>
              <w:jc w:val="center"/>
              <w:rPr>
                <w:sz w:val="20"/>
                <w:szCs w:val="20"/>
                <w:lang w:bidi="en-GB"/>
              </w:rPr>
            </w:pPr>
            <w:r w:rsidRPr="00656E54">
              <w:rPr>
                <w:sz w:val="20"/>
                <w:szCs w:val="20"/>
                <w:lang w:bidi="en-GB"/>
              </w:rPr>
              <w:t>Where the LA needs to make provision in accordance with Section 19 ‘other reasons’</w:t>
            </w:r>
          </w:p>
        </w:tc>
        <w:tc>
          <w:tcPr>
            <w:tcW w:w="1701" w:type="dxa"/>
          </w:tcPr>
          <w:p w14:paraId="2EB545FE" w14:textId="77777777" w:rsidR="007363E7" w:rsidRPr="00656E54" w:rsidRDefault="007363E7" w:rsidP="007363E7">
            <w:pPr>
              <w:pStyle w:val="Default"/>
              <w:jc w:val="center"/>
              <w:rPr>
                <w:sz w:val="20"/>
                <w:szCs w:val="20"/>
                <w:lang w:bidi="en-GB"/>
              </w:rPr>
            </w:pPr>
            <w:r w:rsidRPr="00656E54">
              <w:rPr>
                <w:sz w:val="20"/>
                <w:szCs w:val="20"/>
                <w:lang w:bidi="en-GB"/>
              </w:rPr>
              <w:t>LA</w:t>
            </w:r>
          </w:p>
        </w:tc>
        <w:tc>
          <w:tcPr>
            <w:tcW w:w="1418" w:type="dxa"/>
          </w:tcPr>
          <w:p w14:paraId="7B4AE8D4" w14:textId="77777777" w:rsidR="007363E7" w:rsidRPr="00656E54" w:rsidRDefault="007363E7" w:rsidP="007363E7">
            <w:pPr>
              <w:pStyle w:val="Default"/>
              <w:jc w:val="center"/>
              <w:rPr>
                <w:sz w:val="20"/>
                <w:szCs w:val="20"/>
                <w:lang w:bidi="en-GB"/>
              </w:rPr>
            </w:pPr>
            <w:r w:rsidRPr="00656E54">
              <w:rPr>
                <w:sz w:val="20"/>
                <w:szCs w:val="20"/>
                <w:lang w:bidi="en-GB"/>
              </w:rPr>
              <w:t>LA/School</w:t>
            </w:r>
          </w:p>
        </w:tc>
        <w:tc>
          <w:tcPr>
            <w:tcW w:w="1701" w:type="dxa"/>
          </w:tcPr>
          <w:p w14:paraId="03D2F8C4" w14:textId="77777777" w:rsidR="007363E7" w:rsidRPr="00656E54" w:rsidRDefault="007363E7" w:rsidP="007363E7">
            <w:pPr>
              <w:pStyle w:val="Default"/>
              <w:jc w:val="center"/>
              <w:rPr>
                <w:sz w:val="20"/>
                <w:szCs w:val="20"/>
                <w:lang w:bidi="en-GB"/>
              </w:rPr>
            </w:pPr>
            <w:r w:rsidRPr="00656E54">
              <w:rPr>
                <w:sz w:val="20"/>
                <w:szCs w:val="20"/>
                <w:lang w:bidi="en-GB"/>
              </w:rPr>
              <w:t>LA/School</w:t>
            </w:r>
          </w:p>
        </w:tc>
        <w:tc>
          <w:tcPr>
            <w:tcW w:w="2410" w:type="dxa"/>
          </w:tcPr>
          <w:p w14:paraId="4F9E3279" w14:textId="77777777" w:rsidR="007363E7" w:rsidRPr="00656E54" w:rsidRDefault="007363E7" w:rsidP="007363E7">
            <w:pPr>
              <w:pStyle w:val="Default"/>
              <w:jc w:val="center"/>
              <w:rPr>
                <w:sz w:val="20"/>
                <w:szCs w:val="20"/>
                <w:lang w:bidi="en-GB"/>
              </w:rPr>
            </w:pPr>
            <w:r w:rsidRPr="00656E54">
              <w:rPr>
                <w:sz w:val="20"/>
                <w:szCs w:val="20"/>
                <w:lang w:bidi="en-GB"/>
              </w:rPr>
              <w:t>Dual or single</w:t>
            </w:r>
          </w:p>
        </w:tc>
      </w:tr>
      <w:tr w:rsidR="007363E7" w:rsidRPr="00FC7075" w14:paraId="58FAADCD" w14:textId="77777777" w:rsidTr="00FC7075">
        <w:trPr>
          <w:jc w:val="center"/>
        </w:trPr>
        <w:tc>
          <w:tcPr>
            <w:tcW w:w="3397" w:type="dxa"/>
          </w:tcPr>
          <w:p w14:paraId="28F38A1F" w14:textId="77777777" w:rsidR="007363E7" w:rsidRPr="00656E54" w:rsidRDefault="007363E7" w:rsidP="007363E7">
            <w:pPr>
              <w:pStyle w:val="Default"/>
              <w:jc w:val="center"/>
              <w:rPr>
                <w:sz w:val="20"/>
                <w:szCs w:val="20"/>
                <w:lang w:bidi="en-GB"/>
              </w:rPr>
            </w:pPr>
            <w:r w:rsidRPr="00656E54">
              <w:rPr>
                <w:sz w:val="20"/>
                <w:szCs w:val="20"/>
                <w:lang w:bidi="en-GB"/>
              </w:rPr>
              <w:t>Off-site attendance for part of the week to access vocational or other courses, whilst attending home school for the rest of the week.</w:t>
            </w:r>
          </w:p>
        </w:tc>
        <w:tc>
          <w:tcPr>
            <w:tcW w:w="1701" w:type="dxa"/>
          </w:tcPr>
          <w:p w14:paraId="22069617"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418" w:type="dxa"/>
          </w:tcPr>
          <w:p w14:paraId="71B8BE21"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1701" w:type="dxa"/>
          </w:tcPr>
          <w:p w14:paraId="5762E6A8" w14:textId="77777777" w:rsidR="007363E7" w:rsidRPr="00656E54" w:rsidRDefault="007363E7" w:rsidP="007363E7">
            <w:pPr>
              <w:pStyle w:val="Default"/>
              <w:jc w:val="center"/>
              <w:rPr>
                <w:sz w:val="20"/>
                <w:szCs w:val="20"/>
                <w:lang w:bidi="en-GB"/>
              </w:rPr>
            </w:pPr>
            <w:r w:rsidRPr="00656E54">
              <w:rPr>
                <w:sz w:val="20"/>
                <w:szCs w:val="20"/>
                <w:lang w:bidi="en-GB"/>
              </w:rPr>
              <w:t>School</w:t>
            </w:r>
          </w:p>
        </w:tc>
        <w:tc>
          <w:tcPr>
            <w:tcW w:w="2410" w:type="dxa"/>
          </w:tcPr>
          <w:p w14:paraId="08379FD0" w14:textId="77777777" w:rsidR="007363E7" w:rsidRPr="00656E54" w:rsidRDefault="007363E7" w:rsidP="007363E7">
            <w:pPr>
              <w:pStyle w:val="Default"/>
              <w:jc w:val="center"/>
              <w:rPr>
                <w:sz w:val="20"/>
                <w:szCs w:val="20"/>
                <w:lang w:bidi="en-GB"/>
              </w:rPr>
            </w:pPr>
            <w:r w:rsidRPr="00656E54">
              <w:rPr>
                <w:sz w:val="20"/>
                <w:szCs w:val="20"/>
                <w:lang w:bidi="en-GB"/>
              </w:rPr>
              <w:t>Dual, school main</w:t>
            </w:r>
          </w:p>
        </w:tc>
      </w:tr>
    </w:tbl>
    <w:p w14:paraId="23EA7701" w14:textId="77777777" w:rsidR="00755480" w:rsidRPr="00656E54" w:rsidRDefault="00755480" w:rsidP="00755480">
      <w:pPr>
        <w:pStyle w:val="Default"/>
        <w:ind w:right="780"/>
        <w:rPr>
          <w:sz w:val="23"/>
          <w:szCs w:val="23"/>
          <w:lang w:bidi="en-GB"/>
        </w:rPr>
      </w:pPr>
    </w:p>
    <w:p w14:paraId="74E4198E" w14:textId="77777777" w:rsidR="00755480" w:rsidRPr="00656E54" w:rsidRDefault="00755480" w:rsidP="00755480">
      <w:pPr>
        <w:pStyle w:val="Default"/>
        <w:rPr>
          <w:sz w:val="23"/>
          <w:szCs w:val="23"/>
          <w:lang w:bidi="en-GB"/>
        </w:rPr>
      </w:pPr>
      <w:r w:rsidRPr="00656E54">
        <w:rPr>
          <w:sz w:val="23"/>
          <w:szCs w:val="23"/>
          <w:lang w:bidi="en-GB"/>
        </w:rPr>
        <w:t>*Maintained schools and Academies are under a duty to arrange for the provision of suitable full- time education from the sixth day of a suspension.</w:t>
      </w:r>
    </w:p>
    <w:p w14:paraId="6DB565A1" w14:textId="77777777" w:rsidR="00755480" w:rsidRPr="00656E54" w:rsidRDefault="00755480" w:rsidP="00755480">
      <w:pPr>
        <w:pStyle w:val="Default"/>
        <w:ind w:right="780"/>
        <w:rPr>
          <w:sz w:val="23"/>
          <w:szCs w:val="23"/>
          <w:lang w:bidi="en-GB"/>
        </w:rPr>
      </w:pPr>
    </w:p>
    <w:p w14:paraId="6308B3DE" w14:textId="77777777" w:rsidR="00755480" w:rsidRPr="00656E54" w:rsidRDefault="00755480" w:rsidP="00755480">
      <w:pPr>
        <w:pStyle w:val="Default"/>
        <w:rPr>
          <w:sz w:val="23"/>
          <w:szCs w:val="23"/>
          <w:lang w:bidi="en-GB"/>
        </w:rPr>
      </w:pPr>
      <w:r w:rsidRPr="00656E54">
        <w:rPr>
          <w:sz w:val="23"/>
          <w:szCs w:val="23"/>
          <w:lang w:bidi="en-GB"/>
        </w:rPr>
        <w:t>**Governing bodies of maintained schools have the power to direct a pupil off-site for education to improve his or her behaviour.  Academies can arrange off-site provision for similar purposes under their general powers, set out in the Academy Trust’s Articles of Association. In these circumstances, the school or academy is the commissioner and funder of the alternative provision placement.</w:t>
      </w:r>
    </w:p>
    <w:p w14:paraId="5FE93885" w14:textId="77777777" w:rsidR="00755480" w:rsidRPr="00656E54" w:rsidRDefault="00755480" w:rsidP="00755480">
      <w:pPr>
        <w:pStyle w:val="Default"/>
        <w:rPr>
          <w:sz w:val="23"/>
          <w:szCs w:val="23"/>
          <w:lang w:bidi="en-GB"/>
        </w:rPr>
      </w:pPr>
    </w:p>
    <w:p w14:paraId="112A1D3D" w14:textId="77777777" w:rsidR="00755480" w:rsidRPr="00656E54" w:rsidRDefault="00755480" w:rsidP="006B4075">
      <w:pPr>
        <w:pStyle w:val="Heading3"/>
      </w:pPr>
      <w:bookmarkStart w:id="8" w:name="_Toc197506912"/>
      <w:r w:rsidRPr="00656E54">
        <w:t>Alternative provision and places</w:t>
      </w:r>
      <w:bookmarkEnd w:id="8"/>
    </w:p>
    <w:p w14:paraId="17B05540" w14:textId="77777777" w:rsidR="00755480" w:rsidRPr="00656E54" w:rsidRDefault="00755480" w:rsidP="00755480">
      <w:pPr>
        <w:pStyle w:val="Default"/>
        <w:rPr>
          <w:sz w:val="23"/>
          <w:szCs w:val="23"/>
          <w:lang w:bidi="en-GB"/>
        </w:rPr>
      </w:pPr>
    </w:p>
    <w:p w14:paraId="62C3328B" w14:textId="77777777" w:rsidR="00755480" w:rsidRPr="00656E54" w:rsidRDefault="00755480" w:rsidP="00755480">
      <w:pPr>
        <w:pStyle w:val="Default"/>
        <w:rPr>
          <w:sz w:val="23"/>
          <w:szCs w:val="23"/>
          <w:lang w:bidi="en-GB"/>
        </w:rPr>
      </w:pPr>
      <w:r w:rsidRPr="00656E54">
        <w:rPr>
          <w:sz w:val="23"/>
          <w:szCs w:val="23"/>
          <w:lang w:bidi="en-GB"/>
        </w:rPr>
        <w:t>Alternative Provision is provided through full or part-time places, and short or longer-term placements and could include support to schools through outreach-work. Placements can be delivered by AP academies, AP free schools and pupil referral units (PRUs). Other settings also provide AP, including independent schools, further education colleges, and other providers from the private and voluntary sectors.</w:t>
      </w:r>
    </w:p>
    <w:p w14:paraId="7576E478" w14:textId="77777777" w:rsidR="00755480" w:rsidRPr="00656E54" w:rsidRDefault="00755480" w:rsidP="00755480">
      <w:pPr>
        <w:pStyle w:val="Default"/>
        <w:rPr>
          <w:sz w:val="23"/>
          <w:szCs w:val="23"/>
          <w:lang w:bidi="en-GB"/>
        </w:rPr>
      </w:pPr>
    </w:p>
    <w:p w14:paraId="6D27D7F6" w14:textId="77777777" w:rsidR="00755480" w:rsidRPr="00656E54" w:rsidRDefault="00755480" w:rsidP="00755480">
      <w:pPr>
        <w:pStyle w:val="Default"/>
        <w:rPr>
          <w:sz w:val="23"/>
          <w:szCs w:val="23"/>
          <w:lang w:bidi="en-GB"/>
        </w:rPr>
      </w:pPr>
      <w:r w:rsidRPr="00656E54">
        <w:rPr>
          <w:sz w:val="23"/>
          <w:szCs w:val="23"/>
          <w:lang w:bidi="en-GB"/>
        </w:rPr>
        <w:lastRenderedPageBreak/>
        <w:t xml:space="preserve">AP settings that are not maintained by local authorities, or established AP Academies or Free schools may not be registered with the DfE. Unregistered settings are therefore not inspected by Ofsted in their own right. Local authorities and schools acting as the commissioner must assure themselves that the setting </w:t>
      </w:r>
      <w:r w:rsidR="00D90C68">
        <w:rPr>
          <w:sz w:val="23"/>
          <w:szCs w:val="23"/>
          <w:lang w:bidi="en-GB"/>
        </w:rPr>
        <w:t xml:space="preserve">and the </w:t>
      </w:r>
      <w:r w:rsidR="00FF37E3">
        <w:rPr>
          <w:sz w:val="23"/>
          <w:szCs w:val="23"/>
          <w:lang w:bidi="en-GB"/>
        </w:rPr>
        <w:t>service</w:t>
      </w:r>
      <w:r w:rsidR="00D90C68">
        <w:rPr>
          <w:sz w:val="23"/>
          <w:szCs w:val="23"/>
          <w:lang w:bidi="en-GB"/>
        </w:rPr>
        <w:t xml:space="preserve"> it provides </w:t>
      </w:r>
      <w:r w:rsidRPr="00656E54">
        <w:rPr>
          <w:sz w:val="23"/>
          <w:szCs w:val="23"/>
          <w:lang w:bidi="en-GB"/>
        </w:rPr>
        <w:t>is registered where appropriate, and delivered by high quality staff with suitable training, experience and safeguarding checks. Schools are assessed during all graded Ofsted inspections to determine how effectively they ensure that the AP they use is safe for children, and that those children are making progress and behaving and attending well.</w:t>
      </w:r>
    </w:p>
    <w:p w14:paraId="2C94E8B0" w14:textId="77777777" w:rsidR="00755480" w:rsidRPr="00656E54" w:rsidRDefault="00755480" w:rsidP="00755480">
      <w:pPr>
        <w:pStyle w:val="Default"/>
        <w:rPr>
          <w:sz w:val="23"/>
          <w:szCs w:val="23"/>
          <w:lang w:bidi="en-GB"/>
        </w:rPr>
      </w:pPr>
    </w:p>
    <w:p w14:paraId="67AF6633" w14:textId="77777777" w:rsidR="00755480" w:rsidRPr="00656E54" w:rsidRDefault="00755480" w:rsidP="006B4075">
      <w:pPr>
        <w:pStyle w:val="Heading3"/>
      </w:pPr>
      <w:bookmarkStart w:id="9" w:name="_Toc197506913"/>
      <w:r w:rsidRPr="00656E54">
        <w:t>Funding for alternative provision</w:t>
      </w:r>
      <w:bookmarkEnd w:id="9"/>
    </w:p>
    <w:p w14:paraId="4EF0B08E" w14:textId="77777777" w:rsidR="00755480" w:rsidRPr="00656E54" w:rsidRDefault="00755480" w:rsidP="00755480">
      <w:pPr>
        <w:pStyle w:val="Default"/>
        <w:rPr>
          <w:sz w:val="23"/>
          <w:szCs w:val="23"/>
          <w:lang w:bidi="en-GB"/>
        </w:rPr>
      </w:pPr>
    </w:p>
    <w:p w14:paraId="02B2255C" w14:textId="5D45141C" w:rsidR="007363E7" w:rsidRPr="00656E54" w:rsidRDefault="007363E7" w:rsidP="007363E7">
      <w:pPr>
        <w:pStyle w:val="Default"/>
        <w:rPr>
          <w:sz w:val="23"/>
          <w:szCs w:val="23"/>
          <w:lang w:bidi="en-GB"/>
        </w:rPr>
      </w:pPr>
      <w:r w:rsidRPr="00656E54">
        <w:rPr>
          <w:sz w:val="23"/>
          <w:szCs w:val="23"/>
          <w:lang w:bidi="en-GB"/>
        </w:rPr>
        <w:t xml:space="preserve">The Green </w:t>
      </w:r>
      <w:r w:rsidR="005840F6">
        <w:rPr>
          <w:sz w:val="23"/>
          <w:szCs w:val="23"/>
          <w:lang w:bidi="en-GB"/>
        </w:rPr>
        <w:t>P</w:t>
      </w:r>
      <w:r w:rsidRPr="00656E54">
        <w:rPr>
          <w:sz w:val="23"/>
          <w:szCs w:val="23"/>
          <w:lang w:bidi="en-GB"/>
        </w:rPr>
        <w:t xml:space="preserve">aper signals the intention for Special Educational Needs provision and alternative provision to be more closely aligned. Further details are needed to assess the implications of this in the future. Currently, funding for alternative provision is from the High Needs Block (HNB) part of the Dedicated Schools Grant (DSG).  The </w:t>
      </w:r>
      <w:r>
        <w:rPr>
          <w:sz w:val="23"/>
          <w:szCs w:val="23"/>
          <w:lang w:bidi="en-GB"/>
        </w:rPr>
        <w:t xml:space="preserve">majority of the </w:t>
      </w:r>
      <w:r w:rsidRPr="00656E54">
        <w:rPr>
          <w:sz w:val="23"/>
          <w:szCs w:val="23"/>
          <w:lang w:bidi="en-GB"/>
        </w:rPr>
        <w:t>HNB funding allocation is used to support provision for 0-25 year-olds with special educational needs and disabilities (SEND)</w:t>
      </w:r>
      <w:r>
        <w:rPr>
          <w:sz w:val="23"/>
          <w:szCs w:val="23"/>
          <w:lang w:bidi="en-GB"/>
        </w:rPr>
        <w:t xml:space="preserve"> although</w:t>
      </w:r>
      <w:r w:rsidRPr="00656E54">
        <w:rPr>
          <w:sz w:val="23"/>
          <w:szCs w:val="23"/>
          <w:lang w:bidi="en-GB"/>
        </w:rPr>
        <w:t xml:space="preserve"> funding for alternative provision is </w:t>
      </w:r>
      <w:r>
        <w:rPr>
          <w:sz w:val="23"/>
          <w:szCs w:val="23"/>
          <w:lang w:bidi="en-GB"/>
        </w:rPr>
        <w:t>included.</w:t>
      </w:r>
      <w:r w:rsidRPr="00656E54">
        <w:rPr>
          <w:sz w:val="23"/>
          <w:szCs w:val="23"/>
          <w:lang w:bidi="en-GB"/>
        </w:rPr>
        <w:t xml:space="preserve"> </w:t>
      </w:r>
      <w:r>
        <w:rPr>
          <w:sz w:val="23"/>
          <w:szCs w:val="23"/>
          <w:lang w:bidi="en-GB"/>
        </w:rPr>
        <w:t>T</w:t>
      </w:r>
      <w:r w:rsidRPr="00656E54">
        <w:rPr>
          <w:sz w:val="23"/>
          <w:szCs w:val="23"/>
          <w:lang w:bidi="en-GB"/>
        </w:rPr>
        <w:t xml:space="preserve">here is no </w:t>
      </w:r>
      <w:r>
        <w:rPr>
          <w:sz w:val="23"/>
          <w:szCs w:val="23"/>
          <w:lang w:bidi="en-GB"/>
        </w:rPr>
        <w:t xml:space="preserve">automatic </w:t>
      </w:r>
      <w:r w:rsidRPr="00656E54">
        <w:rPr>
          <w:sz w:val="23"/>
          <w:szCs w:val="23"/>
          <w:lang w:bidi="en-GB"/>
        </w:rPr>
        <w:t xml:space="preserve">adjustment to the HNB grant for changes in numbers attending alternative provision, </w:t>
      </w:r>
      <w:r>
        <w:rPr>
          <w:sz w:val="23"/>
          <w:szCs w:val="23"/>
          <w:lang w:bidi="en-GB"/>
        </w:rPr>
        <w:t xml:space="preserve">unlike </w:t>
      </w:r>
      <w:r w:rsidRPr="00656E54">
        <w:rPr>
          <w:sz w:val="23"/>
          <w:szCs w:val="23"/>
          <w:lang w:bidi="en-GB"/>
        </w:rPr>
        <w:t xml:space="preserve">for special needs places, </w:t>
      </w:r>
      <w:r>
        <w:rPr>
          <w:sz w:val="23"/>
          <w:szCs w:val="23"/>
          <w:lang w:bidi="en-GB"/>
        </w:rPr>
        <w:t xml:space="preserve">where there is a partial adjustment for </w:t>
      </w:r>
      <w:r w:rsidRPr="00656E54">
        <w:rPr>
          <w:sz w:val="23"/>
          <w:szCs w:val="23"/>
          <w:lang w:bidi="en-GB"/>
        </w:rPr>
        <w:t>the number of pupils in special schools.</w:t>
      </w:r>
    </w:p>
    <w:p w14:paraId="074FF1DF" w14:textId="77777777" w:rsidR="007363E7" w:rsidRPr="00656E54" w:rsidRDefault="007363E7" w:rsidP="007363E7">
      <w:pPr>
        <w:pStyle w:val="Default"/>
        <w:ind w:right="780"/>
        <w:rPr>
          <w:sz w:val="23"/>
          <w:szCs w:val="23"/>
          <w:lang w:bidi="en-GB"/>
        </w:rPr>
      </w:pPr>
    </w:p>
    <w:p w14:paraId="20FEBB60" w14:textId="3E2157BB" w:rsidR="007363E7" w:rsidRDefault="007363E7" w:rsidP="007363E7">
      <w:pPr>
        <w:pStyle w:val="Default"/>
        <w:ind w:right="780"/>
        <w:rPr>
          <w:sz w:val="23"/>
          <w:szCs w:val="23"/>
          <w:lang w:bidi="en-GB"/>
        </w:rPr>
      </w:pPr>
      <w:r w:rsidRPr="00656E54">
        <w:rPr>
          <w:sz w:val="23"/>
          <w:szCs w:val="23"/>
          <w:lang w:bidi="en-GB"/>
        </w:rPr>
        <w:t>Herefordshire’s High Needs Block for 202</w:t>
      </w:r>
      <w:r>
        <w:rPr>
          <w:sz w:val="23"/>
          <w:szCs w:val="23"/>
          <w:lang w:bidi="en-GB"/>
        </w:rPr>
        <w:t>3</w:t>
      </w:r>
      <w:r w:rsidRPr="00656E54">
        <w:rPr>
          <w:sz w:val="23"/>
          <w:szCs w:val="23"/>
          <w:lang w:bidi="en-GB"/>
        </w:rPr>
        <w:t>-2</w:t>
      </w:r>
      <w:r>
        <w:rPr>
          <w:sz w:val="23"/>
          <w:szCs w:val="23"/>
          <w:lang w:bidi="en-GB"/>
        </w:rPr>
        <w:t>4</w:t>
      </w:r>
      <w:r w:rsidRPr="00656E54">
        <w:rPr>
          <w:sz w:val="23"/>
          <w:szCs w:val="23"/>
          <w:lang w:bidi="en-GB"/>
        </w:rPr>
        <w:t xml:space="preserve"> financial year is £</w:t>
      </w:r>
      <w:r>
        <w:rPr>
          <w:sz w:val="23"/>
          <w:szCs w:val="23"/>
          <w:lang w:bidi="en-GB"/>
        </w:rPr>
        <w:t>25.7m (gross)</w:t>
      </w:r>
      <w:r w:rsidRPr="00656E54">
        <w:rPr>
          <w:sz w:val="23"/>
          <w:szCs w:val="23"/>
          <w:lang w:bidi="en-GB"/>
        </w:rPr>
        <w:t xml:space="preserve"> and is </w:t>
      </w:r>
      <w:r>
        <w:rPr>
          <w:sz w:val="23"/>
          <w:szCs w:val="23"/>
          <w:lang w:bidi="en-GB"/>
        </w:rPr>
        <w:t xml:space="preserve">already </w:t>
      </w:r>
      <w:r w:rsidRPr="00656E54">
        <w:rPr>
          <w:sz w:val="23"/>
          <w:szCs w:val="23"/>
          <w:lang w:bidi="en-GB"/>
        </w:rPr>
        <w:t xml:space="preserve">over-committed </w:t>
      </w:r>
      <w:r>
        <w:rPr>
          <w:sz w:val="23"/>
          <w:szCs w:val="23"/>
          <w:lang w:bidi="en-GB"/>
        </w:rPr>
        <w:t xml:space="preserve">at the start of the year </w:t>
      </w:r>
      <w:r w:rsidRPr="00656E54">
        <w:rPr>
          <w:sz w:val="23"/>
          <w:szCs w:val="23"/>
          <w:lang w:bidi="en-GB"/>
        </w:rPr>
        <w:t>like most local authorities</w:t>
      </w:r>
      <w:r>
        <w:rPr>
          <w:sz w:val="23"/>
          <w:szCs w:val="23"/>
          <w:lang w:bidi="en-GB"/>
        </w:rPr>
        <w:t xml:space="preserve">. Herefordshire is </w:t>
      </w:r>
      <w:r w:rsidRPr="00656E54">
        <w:rPr>
          <w:sz w:val="23"/>
          <w:szCs w:val="23"/>
          <w:lang w:bidi="en-GB"/>
        </w:rPr>
        <w:t>forecasting a</w:t>
      </w:r>
      <w:r>
        <w:rPr>
          <w:sz w:val="23"/>
          <w:szCs w:val="23"/>
          <w:lang w:bidi="en-GB"/>
        </w:rPr>
        <w:t xml:space="preserve"> cumulative</w:t>
      </w:r>
      <w:r w:rsidRPr="00656E54">
        <w:rPr>
          <w:sz w:val="23"/>
          <w:szCs w:val="23"/>
          <w:lang w:bidi="en-GB"/>
        </w:rPr>
        <w:t xml:space="preserve"> £</w:t>
      </w:r>
      <w:r w:rsidR="00BE3984">
        <w:rPr>
          <w:sz w:val="23"/>
          <w:szCs w:val="23"/>
          <w:lang w:bidi="en-GB"/>
        </w:rPr>
        <w:t xml:space="preserve">12m </w:t>
      </w:r>
      <w:r>
        <w:rPr>
          <w:sz w:val="23"/>
          <w:szCs w:val="23"/>
          <w:lang w:bidi="en-GB"/>
        </w:rPr>
        <w:t xml:space="preserve">deficit by March 2026, caused by DfE funding allocations not being sufficient to meet the increasing costs </w:t>
      </w:r>
      <w:r w:rsidRPr="00656E54">
        <w:rPr>
          <w:sz w:val="23"/>
          <w:szCs w:val="23"/>
          <w:lang w:bidi="en-GB"/>
        </w:rPr>
        <w:t xml:space="preserve">due to a combination of more pupils, pupils with greater needs and the placement of significant numbers of pupils in </w:t>
      </w:r>
      <w:r>
        <w:rPr>
          <w:sz w:val="23"/>
          <w:szCs w:val="23"/>
          <w:lang w:bidi="en-GB"/>
        </w:rPr>
        <w:t xml:space="preserve">expensive </w:t>
      </w:r>
      <w:r w:rsidRPr="00656E54">
        <w:rPr>
          <w:sz w:val="23"/>
          <w:szCs w:val="23"/>
          <w:lang w:bidi="en-GB"/>
        </w:rPr>
        <w:t>independent provision</w:t>
      </w:r>
      <w:r>
        <w:rPr>
          <w:sz w:val="23"/>
          <w:szCs w:val="23"/>
          <w:lang w:bidi="en-GB"/>
        </w:rPr>
        <w:t>.</w:t>
      </w:r>
    </w:p>
    <w:p w14:paraId="676727A8" w14:textId="77777777" w:rsidR="007363E7" w:rsidRPr="00656E54" w:rsidRDefault="007363E7" w:rsidP="006B4075"/>
    <w:p w14:paraId="7B694828" w14:textId="77777777" w:rsidR="00755480" w:rsidRPr="00656E54" w:rsidRDefault="00755480" w:rsidP="006B4075">
      <w:pPr>
        <w:pStyle w:val="Heading3"/>
      </w:pPr>
      <w:bookmarkStart w:id="10" w:name="_Toc197506914"/>
      <w:r w:rsidRPr="00656E54">
        <w:t>Alternative Provision in Herefordshire</w:t>
      </w:r>
      <w:bookmarkEnd w:id="10"/>
    </w:p>
    <w:p w14:paraId="11023340" w14:textId="77777777" w:rsidR="00755480" w:rsidRPr="00656E54" w:rsidRDefault="00755480" w:rsidP="00755480">
      <w:pPr>
        <w:pStyle w:val="Default"/>
        <w:ind w:right="780"/>
        <w:rPr>
          <w:sz w:val="23"/>
          <w:szCs w:val="23"/>
          <w:lang w:bidi="en-GB"/>
        </w:rPr>
      </w:pPr>
    </w:p>
    <w:p w14:paraId="1C74D686" w14:textId="77777777" w:rsidR="00755480" w:rsidRPr="00656E54" w:rsidRDefault="00755480" w:rsidP="00755480">
      <w:pPr>
        <w:pStyle w:val="Default"/>
        <w:ind w:right="780"/>
        <w:rPr>
          <w:sz w:val="23"/>
          <w:szCs w:val="23"/>
          <w:lang w:bidi="en-GB"/>
        </w:rPr>
      </w:pPr>
      <w:r w:rsidRPr="00656E54">
        <w:rPr>
          <w:sz w:val="23"/>
          <w:szCs w:val="23"/>
          <w:lang w:bidi="en-GB"/>
        </w:rPr>
        <w:t>Herefordshire believes that every child deserves an education that enables them to fulfil their potential, whatever their background and individual needs, or location in the County.</w:t>
      </w:r>
    </w:p>
    <w:p w14:paraId="495695F7" w14:textId="77777777" w:rsidR="00FC7075" w:rsidRDefault="00FC7075" w:rsidP="00755480">
      <w:pPr>
        <w:pStyle w:val="Default"/>
        <w:rPr>
          <w:sz w:val="23"/>
          <w:szCs w:val="23"/>
          <w:lang w:bidi="en-GB"/>
        </w:rPr>
      </w:pPr>
    </w:p>
    <w:p w14:paraId="19C402EB" w14:textId="77777777" w:rsidR="00755480" w:rsidRPr="00656E54" w:rsidRDefault="00755480" w:rsidP="00755480">
      <w:pPr>
        <w:pStyle w:val="Default"/>
        <w:rPr>
          <w:sz w:val="23"/>
          <w:szCs w:val="23"/>
          <w:lang w:bidi="en-GB"/>
        </w:rPr>
      </w:pPr>
      <w:r w:rsidRPr="00656E54">
        <w:rPr>
          <w:sz w:val="23"/>
          <w:szCs w:val="23"/>
          <w:lang w:bidi="en-GB"/>
        </w:rPr>
        <w:t>Increasingly alternative provision will play a critical role in making this happen. Alternative provision can provide support to children at challenging moments in their lives, above and beyond support already made available in their school. Each placement has the potential to transform a child’s life chances.</w:t>
      </w:r>
    </w:p>
    <w:p w14:paraId="0FB0B137" w14:textId="77777777" w:rsidR="00755480" w:rsidRPr="00656E54" w:rsidRDefault="00755480" w:rsidP="00755480">
      <w:pPr>
        <w:pStyle w:val="Default"/>
        <w:rPr>
          <w:sz w:val="23"/>
          <w:szCs w:val="23"/>
          <w:lang w:bidi="en-GB"/>
        </w:rPr>
      </w:pPr>
    </w:p>
    <w:p w14:paraId="088B352B" w14:textId="1360CE99" w:rsidR="00755480" w:rsidRDefault="00755480" w:rsidP="006B4075">
      <w:pPr>
        <w:pStyle w:val="Heading3"/>
        <w:rPr>
          <w:lang w:bidi="en-GB"/>
        </w:rPr>
      </w:pPr>
      <w:bookmarkStart w:id="11" w:name="_Toc197506915"/>
      <w:r w:rsidRPr="00656E54">
        <w:rPr>
          <w:lang w:bidi="en-GB"/>
        </w:rPr>
        <w:t>Herefordshire Pupil Referral Service (HPRS</w:t>
      </w:r>
      <w:r w:rsidR="006B4075">
        <w:rPr>
          <w:lang w:bidi="en-GB"/>
        </w:rPr>
        <w:t>)</w:t>
      </w:r>
      <w:bookmarkEnd w:id="11"/>
    </w:p>
    <w:p w14:paraId="337CEA2E" w14:textId="5A30B3BC" w:rsidR="003C4BB4" w:rsidRDefault="003C4BB4" w:rsidP="00755480">
      <w:pPr>
        <w:pStyle w:val="Default"/>
        <w:rPr>
          <w:sz w:val="23"/>
          <w:szCs w:val="23"/>
          <w:lang w:bidi="en-GB"/>
        </w:rPr>
      </w:pPr>
    </w:p>
    <w:p w14:paraId="196C2903" w14:textId="53487F05" w:rsidR="003C4BB4" w:rsidRDefault="003C4BB4" w:rsidP="003C4BB4">
      <w:pPr>
        <w:pStyle w:val="Default"/>
        <w:ind w:right="780"/>
        <w:rPr>
          <w:sz w:val="23"/>
          <w:szCs w:val="23"/>
        </w:rPr>
      </w:pPr>
      <w:r w:rsidRPr="00656E54">
        <w:rPr>
          <w:sz w:val="23"/>
          <w:szCs w:val="23"/>
          <w:lang w:bidi="en-GB"/>
        </w:rPr>
        <w:t>Herefordshire Council commissions places for permanently excluded pupils in Key Stage 3 and Key Stage 4</w:t>
      </w:r>
      <w:r>
        <w:rPr>
          <w:sz w:val="23"/>
          <w:szCs w:val="23"/>
          <w:lang w:bidi="en-GB"/>
        </w:rPr>
        <w:t xml:space="preserve"> at HPRS</w:t>
      </w:r>
      <w:r w:rsidRPr="00656E54">
        <w:rPr>
          <w:sz w:val="23"/>
          <w:szCs w:val="23"/>
          <w:lang w:bidi="en-GB"/>
        </w:rPr>
        <w:t xml:space="preserve">. </w:t>
      </w:r>
      <w:r>
        <w:rPr>
          <w:sz w:val="23"/>
          <w:szCs w:val="23"/>
          <w:lang w:bidi="en-GB"/>
        </w:rPr>
        <w:t xml:space="preserve"> HPRS is a</w:t>
      </w:r>
      <w:r w:rsidRPr="00656E54">
        <w:rPr>
          <w:sz w:val="23"/>
          <w:szCs w:val="23"/>
        </w:rPr>
        <w:t xml:space="preserve"> Pupil Referral Unit (PRU) for secondary pupils</w:t>
      </w:r>
      <w:r>
        <w:rPr>
          <w:sz w:val="23"/>
          <w:szCs w:val="23"/>
        </w:rPr>
        <w:t>.</w:t>
      </w:r>
      <w:r w:rsidRPr="00656E54">
        <w:rPr>
          <w:sz w:val="23"/>
          <w:szCs w:val="23"/>
        </w:rPr>
        <w:t xml:space="preserve"> </w:t>
      </w:r>
    </w:p>
    <w:p w14:paraId="1F3DD815" w14:textId="77777777" w:rsidR="003C4BB4" w:rsidRPr="00656E54" w:rsidRDefault="003C4BB4" w:rsidP="003C4BB4">
      <w:pPr>
        <w:pStyle w:val="Default"/>
        <w:ind w:right="780"/>
        <w:rPr>
          <w:sz w:val="23"/>
          <w:szCs w:val="23"/>
          <w:lang w:bidi="en-GB"/>
        </w:rPr>
      </w:pPr>
    </w:p>
    <w:p w14:paraId="5F837036" w14:textId="7820AF57" w:rsidR="00755480" w:rsidRDefault="005840F6" w:rsidP="00755480">
      <w:pPr>
        <w:pStyle w:val="Default"/>
        <w:rPr>
          <w:sz w:val="23"/>
          <w:szCs w:val="23"/>
          <w:lang w:bidi="en-GB"/>
        </w:rPr>
      </w:pPr>
      <w:r>
        <w:rPr>
          <w:sz w:val="23"/>
          <w:szCs w:val="23"/>
          <w:lang w:bidi="en-GB"/>
        </w:rPr>
        <w:t xml:space="preserve">There are </w:t>
      </w:r>
      <w:r w:rsidR="00A41B23">
        <w:rPr>
          <w:sz w:val="23"/>
          <w:szCs w:val="23"/>
          <w:lang w:bidi="en-GB"/>
        </w:rPr>
        <w:t>64</w:t>
      </w:r>
      <w:r w:rsidR="00755480" w:rsidRPr="00656E54">
        <w:rPr>
          <w:sz w:val="23"/>
          <w:szCs w:val="23"/>
          <w:lang w:bidi="en-GB"/>
        </w:rPr>
        <w:t xml:space="preserve"> places available for secondary</w:t>
      </w:r>
      <w:r>
        <w:rPr>
          <w:sz w:val="23"/>
          <w:szCs w:val="23"/>
          <w:lang w:bidi="en-GB"/>
        </w:rPr>
        <w:t>-</w:t>
      </w:r>
      <w:r w:rsidR="00755480" w:rsidRPr="00656E54">
        <w:rPr>
          <w:sz w:val="23"/>
          <w:szCs w:val="23"/>
          <w:lang w:bidi="en-GB"/>
        </w:rPr>
        <w:t>age</w:t>
      </w:r>
      <w:r>
        <w:rPr>
          <w:sz w:val="23"/>
          <w:szCs w:val="23"/>
          <w:lang w:bidi="en-GB"/>
        </w:rPr>
        <w:t>d</w:t>
      </w:r>
      <w:r w:rsidR="00755480" w:rsidRPr="00656E54">
        <w:rPr>
          <w:sz w:val="23"/>
          <w:szCs w:val="23"/>
          <w:lang w:bidi="en-GB"/>
        </w:rPr>
        <w:t xml:space="preserve"> pupils</w:t>
      </w:r>
      <w:r w:rsidR="00A41B23">
        <w:rPr>
          <w:sz w:val="23"/>
          <w:szCs w:val="23"/>
          <w:lang w:bidi="en-GB"/>
        </w:rPr>
        <w:t xml:space="preserve"> (plus 25 full</w:t>
      </w:r>
      <w:r>
        <w:rPr>
          <w:sz w:val="23"/>
          <w:szCs w:val="23"/>
          <w:lang w:bidi="en-GB"/>
        </w:rPr>
        <w:t>-</w:t>
      </w:r>
      <w:r w:rsidR="00A41B23">
        <w:rPr>
          <w:sz w:val="23"/>
          <w:szCs w:val="23"/>
          <w:lang w:bidi="en-GB"/>
        </w:rPr>
        <w:t>time equivalent places at H3)</w:t>
      </w:r>
      <w:r w:rsidR="00755480" w:rsidRPr="00656E54">
        <w:rPr>
          <w:sz w:val="23"/>
          <w:szCs w:val="23"/>
          <w:lang w:bidi="en-GB"/>
        </w:rPr>
        <w:t xml:space="preserve"> operating across </w:t>
      </w:r>
      <w:r w:rsidR="00FC7075">
        <w:rPr>
          <w:sz w:val="23"/>
          <w:szCs w:val="23"/>
          <w:lang w:bidi="en-GB"/>
        </w:rPr>
        <w:t>three</w:t>
      </w:r>
      <w:r w:rsidR="00755480" w:rsidRPr="00656E54">
        <w:rPr>
          <w:sz w:val="23"/>
          <w:szCs w:val="23"/>
          <w:lang w:bidi="en-GB"/>
        </w:rPr>
        <w:t xml:space="preserve"> sites with a flexible offer delivered in group sizes appropriate to the age and need of the pupils. The </w:t>
      </w:r>
      <w:r w:rsidR="00FC7075">
        <w:rPr>
          <w:sz w:val="23"/>
          <w:szCs w:val="23"/>
          <w:lang w:bidi="en-GB"/>
        </w:rPr>
        <w:t>three</w:t>
      </w:r>
      <w:r w:rsidR="00755480" w:rsidRPr="00656E54">
        <w:rPr>
          <w:sz w:val="23"/>
          <w:szCs w:val="23"/>
          <w:lang w:bidi="en-GB"/>
        </w:rPr>
        <w:t xml:space="preserve"> sites are: The St David’s Centre for Key Stage 4 pupils, The Aconbury Centre for Key Stage 3 pupils and H3 (the hospital school) for pupils who are unable to attend school due to medical reasons.</w:t>
      </w:r>
    </w:p>
    <w:p w14:paraId="18F39EAF" w14:textId="551B5FA3" w:rsidR="003C4BB4" w:rsidRDefault="003C4BB4" w:rsidP="00755480">
      <w:pPr>
        <w:pStyle w:val="Default"/>
        <w:rPr>
          <w:sz w:val="23"/>
          <w:szCs w:val="23"/>
          <w:lang w:bidi="en-GB"/>
        </w:rPr>
      </w:pPr>
    </w:p>
    <w:p w14:paraId="6A81D8B6" w14:textId="13BAAD4E" w:rsidR="003C4BB4" w:rsidRDefault="003C4BB4" w:rsidP="003C4BB4">
      <w:pPr>
        <w:pStyle w:val="Default"/>
        <w:rPr>
          <w:sz w:val="23"/>
          <w:szCs w:val="23"/>
          <w:lang w:bidi="en-GB"/>
        </w:rPr>
      </w:pPr>
      <w:r w:rsidRPr="00656E54">
        <w:rPr>
          <w:sz w:val="23"/>
          <w:szCs w:val="23"/>
          <w:lang w:bidi="en-GB"/>
        </w:rPr>
        <w:t>There is no PRU provision for PEX pupils in the primary sector. Provision is currently s</w:t>
      </w:r>
      <w:r w:rsidRPr="00FC7075">
        <w:rPr>
          <w:sz w:val="23"/>
          <w:szCs w:val="23"/>
          <w:lang w:bidi="en-GB"/>
        </w:rPr>
        <w:t>ought with The Brookfield SEMH S</w:t>
      </w:r>
      <w:r w:rsidRPr="00656E54">
        <w:rPr>
          <w:sz w:val="23"/>
          <w:szCs w:val="23"/>
          <w:lang w:bidi="en-GB"/>
        </w:rPr>
        <w:t xml:space="preserve">pecial School for Key Stage 2 pupils or another mainstream setting for Key Stage 1 pupils. </w:t>
      </w:r>
    </w:p>
    <w:p w14:paraId="1630D5AC" w14:textId="77777777" w:rsidR="003C4BB4" w:rsidRPr="00656E54" w:rsidRDefault="003C4BB4" w:rsidP="00755480">
      <w:pPr>
        <w:pStyle w:val="Default"/>
        <w:rPr>
          <w:sz w:val="23"/>
          <w:szCs w:val="23"/>
          <w:lang w:bidi="en-GB"/>
        </w:rPr>
      </w:pPr>
    </w:p>
    <w:p w14:paraId="49045830" w14:textId="46B81183" w:rsidR="005D2904" w:rsidRDefault="005D2904" w:rsidP="00755480">
      <w:pPr>
        <w:pStyle w:val="Default"/>
        <w:rPr>
          <w:sz w:val="23"/>
          <w:szCs w:val="23"/>
          <w:lang w:bidi="en-GB"/>
        </w:rPr>
      </w:pPr>
    </w:p>
    <w:p w14:paraId="1E84B3E5" w14:textId="06C5801B" w:rsidR="005D2904" w:rsidRDefault="005D2904" w:rsidP="006B4075">
      <w:pPr>
        <w:pStyle w:val="Heading3"/>
      </w:pPr>
      <w:bookmarkStart w:id="12" w:name="_Toc197506916"/>
      <w:r w:rsidRPr="003C4BB4">
        <w:t>HPRS – Position statement 2023</w:t>
      </w:r>
      <w:r w:rsidR="003C4BB4">
        <w:t xml:space="preserve"> – reviewed June 2024</w:t>
      </w:r>
      <w:bookmarkEnd w:id="12"/>
    </w:p>
    <w:p w14:paraId="61D047F9" w14:textId="77777777" w:rsidR="003C4BB4" w:rsidRPr="003C4BB4" w:rsidRDefault="003C4BB4" w:rsidP="00755480">
      <w:pPr>
        <w:pStyle w:val="Default"/>
        <w:rPr>
          <w:sz w:val="23"/>
          <w:szCs w:val="23"/>
          <w:u w:val="single"/>
          <w:lang w:bidi="en-GB"/>
        </w:rPr>
      </w:pPr>
    </w:p>
    <w:p w14:paraId="272902BE" w14:textId="0E661631" w:rsidR="00755480" w:rsidRDefault="00755480" w:rsidP="00755480">
      <w:pPr>
        <w:pStyle w:val="Default"/>
        <w:rPr>
          <w:sz w:val="23"/>
          <w:szCs w:val="23"/>
          <w:lang w:bidi="en-GB"/>
        </w:rPr>
      </w:pPr>
      <w:r w:rsidRPr="00656E54">
        <w:rPr>
          <w:sz w:val="23"/>
          <w:szCs w:val="23"/>
          <w:lang w:bidi="en-GB"/>
        </w:rPr>
        <w:t>There has been a 27% increase in permanent exclusions for Herefordshire secondary age pupils in the Autumn Term 2022 compared to the Autumn Term 2021</w:t>
      </w:r>
      <w:r w:rsidR="00FC7075">
        <w:rPr>
          <w:sz w:val="23"/>
          <w:szCs w:val="23"/>
          <w:lang w:bidi="en-GB"/>
        </w:rPr>
        <w:t xml:space="preserve"> </w:t>
      </w:r>
      <w:r w:rsidRPr="00656E54">
        <w:rPr>
          <w:sz w:val="23"/>
          <w:szCs w:val="23"/>
          <w:lang w:bidi="en-GB"/>
        </w:rPr>
        <w:t>(11 in Autumn 2021 and 14 in Autumn 2022), as the country continues to experience the aftershock from the pandemic. The increase in permanent exclusions means that HPRS is unable to currently take Key Stage 4 pupils</w:t>
      </w:r>
      <w:r w:rsidR="00A41B23">
        <w:rPr>
          <w:sz w:val="23"/>
          <w:szCs w:val="23"/>
          <w:lang w:bidi="en-GB"/>
        </w:rPr>
        <w:t>,</w:t>
      </w:r>
      <w:r w:rsidRPr="00656E54">
        <w:rPr>
          <w:sz w:val="23"/>
          <w:szCs w:val="23"/>
          <w:lang w:bidi="en-GB"/>
        </w:rPr>
        <w:t xml:space="preserve"> with a waiting list in the Spring and summer term of 2023 at Key Stage 4 (currently 41 pupils on roll in Key Stage 4). In light of this sudden increase in demand there is a need to review, in partnership with HPRS and other stakeholders, the number of places currently offered here at Key Stage 4.</w:t>
      </w:r>
      <w:r w:rsidR="007363E7">
        <w:rPr>
          <w:sz w:val="23"/>
          <w:szCs w:val="23"/>
          <w:lang w:bidi="en-GB"/>
        </w:rPr>
        <w:t xml:space="preserve"> Accommodation is currently the limiting factor.</w:t>
      </w:r>
    </w:p>
    <w:p w14:paraId="7D6E1D81" w14:textId="046ED78D" w:rsidR="003C4BB4" w:rsidRDefault="003C4BB4" w:rsidP="00755480">
      <w:pPr>
        <w:pStyle w:val="Default"/>
        <w:rPr>
          <w:sz w:val="23"/>
          <w:szCs w:val="23"/>
          <w:lang w:bidi="en-GB"/>
        </w:rPr>
      </w:pPr>
    </w:p>
    <w:p w14:paraId="2B4FEF1A" w14:textId="332602FD" w:rsidR="003C4BB4" w:rsidRDefault="003C4BB4" w:rsidP="00755480">
      <w:pPr>
        <w:pStyle w:val="Default"/>
        <w:rPr>
          <w:sz w:val="23"/>
          <w:szCs w:val="23"/>
          <w:lang w:bidi="en-GB"/>
        </w:rPr>
      </w:pPr>
      <w:r>
        <w:rPr>
          <w:sz w:val="23"/>
          <w:szCs w:val="23"/>
          <w:lang w:bidi="en-GB"/>
        </w:rPr>
        <w:t xml:space="preserve">June 2024: the increase in permanent exclusions across key stage 3 and 4 has continued into the academic year 2023/24 with the number of permanent exclusions to the end of May 2024 already up by 15.4% on the full </w:t>
      </w:r>
      <w:r>
        <w:rPr>
          <w:sz w:val="23"/>
          <w:szCs w:val="23"/>
          <w:lang w:bidi="en-GB"/>
        </w:rPr>
        <w:lastRenderedPageBreak/>
        <w:t>academic year 22/23. The result is a small but rising number of young people being placed in alternative provision to meet the LA’s responsibility for day 6 provision</w:t>
      </w:r>
    </w:p>
    <w:p w14:paraId="6B5B0D76" w14:textId="77777777" w:rsidR="00FC7075" w:rsidRPr="00656E54" w:rsidRDefault="00FC7075" w:rsidP="00755480">
      <w:pPr>
        <w:pStyle w:val="Default"/>
        <w:rPr>
          <w:sz w:val="23"/>
          <w:szCs w:val="23"/>
          <w:lang w:bidi="en-GB"/>
        </w:rPr>
      </w:pPr>
    </w:p>
    <w:p w14:paraId="1F204AED" w14:textId="7075ACBC" w:rsidR="00755480" w:rsidRDefault="00755480" w:rsidP="00755480">
      <w:pPr>
        <w:pStyle w:val="Default"/>
        <w:rPr>
          <w:sz w:val="23"/>
          <w:szCs w:val="23"/>
          <w:lang w:bidi="en-GB"/>
        </w:rPr>
      </w:pPr>
      <w:r w:rsidRPr="00656E54">
        <w:rPr>
          <w:sz w:val="23"/>
          <w:szCs w:val="23"/>
          <w:lang w:bidi="en-GB"/>
        </w:rPr>
        <w:t xml:space="preserve">The academic year 2022-23 has seen a rise in the number of primary pupils permanently excluded from </w:t>
      </w:r>
      <w:r w:rsidR="00656E54">
        <w:rPr>
          <w:sz w:val="23"/>
          <w:szCs w:val="23"/>
          <w:lang w:bidi="en-GB"/>
        </w:rPr>
        <w:t>1</w:t>
      </w:r>
      <w:r w:rsidRPr="00656E54">
        <w:rPr>
          <w:sz w:val="23"/>
          <w:szCs w:val="23"/>
          <w:lang w:bidi="en-GB"/>
        </w:rPr>
        <w:t xml:space="preserve"> in 202</w:t>
      </w:r>
      <w:r w:rsidR="00656E54">
        <w:rPr>
          <w:sz w:val="23"/>
          <w:szCs w:val="23"/>
          <w:lang w:bidi="en-GB"/>
        </w:rPr>
        <w:t xml:space="preserve">1-22 to </w:t>
      </w:r>
      <w:r w:rsidR="00A41B23">
        <w:rPr>
          <w:sz w:val="23"/>
          <w:szCs w:val="23"/>
          <w:lang w:bidi="en-GB"/>
        </w:rPr>
        <w:t>4</w:t>
      </w:r>
      <w:r w:rsidR="00A41B23" w:rsidRPr="00656E54">
        <w:rPr>
          <w:sz w:val="23"/>
          <w:szCs w:val="23"/>
          <w:lang w:bidi="en-GB"/>
        </w:rPr>
        <w:t xml:space="preserve"> in</w:t>
      </w:r>
      <w:r w:rsidRPr="00656E54">
        <w:rPr>
          <w:sz w:val="23"/>
          <w:szCs w:val="23"/>
          <w:lang w:bidi="en-GB"/>
        </w:rPr>
        <w:t xml:space="preserve"> 2022-23.</w:t>
      </w:r>
      <w:r w:rsidR="003C4BB4">
        <w:rPr>
          <w:sz w:val="23"/>
          <w:szCs w:val="23"/>
          <w:lang w:bidi="en-GB"/>
        </w:rPr>
        <w:t>As of May 2024 this number is already at 5 primary permanent exclusions</w:t>
      </w:r>
    </w:p>
    <w:p w14:paraId="71CBA594" w14:textId="77777777" w:rsidR="003C4BB4" w:rsidRDefault="003C4BB4" w:rsidP="00755480">
      <w:pPr>
        <w:pStyle w:val="Default"/>
        <w:rPr>
          <w:sz w:val="23"/>
          <w:szCs w:val="23"/>
          <w:lang w:bidi="en-GB"/>
        </w:rPr>
      </w:pPr>
    </w:p>
    <w:p w14:paraId="34E71EAB" w14:textId="77777777" w:rsidR="00FC7075" w:rsidRPr="00656E54" w:rsidRDefault="00FC7075" w:rsidP="00755480">
      <w:pPr>
        <w:pStyle w:val="Default"/>
        <w:rPr>
          <w:sz w:val="23"/>
          <w:szCs w:val="23"/>
          <w:lang w:bidi="en-GB"/>
        </w:rPr>
      </w:pPr>
    </w:p>
    <w:p w14:paraId="21906548" w14:textId="77777777" w:rsidR="00755480" w:rsidRDefault="00755480" w:rsidP="006B4075">
      <w:pPr>
        <w:pStyle w:val="Heading3"/>
      </w:pPr>
      <w:bookmarkStart w:id="13" w:name="_Toc197506917"/>
      <w:r w:rsidRPr="00656E54">
        <w:t>Other provision/support</w:t>
      </w:r>
      <w:bookmarkEnd w:id="13"/>
    </w:p>
    <w:p w14:paraId="3B8A48DC" w14:textId="77777777" w:rsidR="00FC7075" w:rsidRPr="00656E54" w:rsidRDefault="00FC7075" w:rsidP="00656E54">
      <w:pPr>
        <w:pStyle w:val="Default"/>
        <w:ind w:left="360" w:right="780"/>
        <w:rPr>
          <w:b/>
          <w:sz w:val="23"/>
          <w:szCs w:val="23"/>
          <w:lang w:bidi="en-GB"/>
        </w:rPr>
      </w:pPr>
    </w:p>
    <w:p w14:paraId="4319E142" w14:textId="77777777" w:rsidR="00B92395" w:rsidRPr="00FC31AE" w:rsidRDefault="00B92395" w:rsidP="00B92395">
      <w:pPr>
        <w:pStyle w:val="CommentText"/>
        <w:rPr>
          <w:rStyle w:val="Hyperlink"/>
          <w:color w:val="auto"/>
          <w:sz w:val="23"/>
          <w:szCs w:val="23"/>
          <w:u w:val="none"/>
        </w:rPr>
      </w:pPr>
      <w:r w:rsidRPr="00FC31AE">
        <w:rPr>
          <w:sz w:val="23"/>
          <w:szCs w:val="23"/>
        </w:rPr>
        <w:t xml:space="preserve">A range of support for school age children is available from the SEMH Inclusion Service.  The full range of support and referral information is available </w:t>
      </w:r>
      <w:hyperlink r:id="rId15" w:history="1">
        <w:r w:rsidRPr="00FC31AE">
          <w:rPr>
            <w:rStyle w:val="Hyperlink"/>
            <w:sz w:val="23"/>
            <w:szCs w:val="23"/>
          </w:rPr>
          <w:t>here</w:t>
        </w:r>
      </w:hyperlink>
      <w:r w:rsidRPr="00FC31AE">
        <w:rPr>
          <w:sz w:val="23"/>
          <w:szCs w:val="23"/>
        </w:rPr>
        <w:t>.</w:t>
      </w:r>
      <w:r>
        <w:rPr>
          <w:sz w:val="23"/>
          <w:szCs w:val="23"/>
        </w:rPr>
        <w:t xml:space="preserve"> </w:t>
      </w:r>
      <w:r w:rsidRPr="00FC31AE">
        <w:rPr>
          <w:sz w:val="23"/>
          <w:szCs w:val="23"/>
        </w:rPr>
        <w:t xml:space="preserve">Herefordshire’s Educational Psychology Service can provide advice and training to schools. Further information is available </w:t>
      </w:r>
      <w:hyperlink r:id="rId16" w:history="1">
        <w:r w:rsidRPr="00FC31AE">
          <w:rPr>
            <w:rStyle w:val="Hyperlink"/>
            <w:sz w:val="23"/>
            <w:szCs w:val="23"/>
          </w:rPr>
          <w:t>here</w:t>
        </w:r>
      </w:hyperlink>
    </w:p>
    <w:p w14:paraId="52E389CD" w14:textId="77777777" w:rsidR="00B92395" w:rsidRDefault="00B92395" w:rsidP="00755480">
      <w:pPr>
        <w:pStyle w:val="Default"/>
        <w:rPr>
          <w:sz w:val="23"/>
          <w:szCs w:val="23"/>
          <w:lang w:bidi="en-GB"/>
        </w:rPr>
      </w:pPr>
    </w:p>
    <w:p w14:paraId="7E2A5BBB" w14:textId="77777777" w:rsidR="00CF4D93" w:rsidRDefault="00755480" w:rsidP="00755480">
      <w:pPr>
        <w:pStyle w:val="Default"/>
        <w:rPr>
          <w:sz w:val="23"/>
          <w:szCs w:val="23"/>
          <w:lang w:bidi="en-GB"/>
        </w:rPr>
      </w:pPr>
      <w:r w:rsidRPr="00656E54">
        <w:rPr>
          <w:sz w:val="23"/>
          <w:szCs w:val="23"/>
          <w:lang w:bidi="en-GB"/>
        </w:rPr>
        <w:t xml:space="preserve">Although not designated as alternative provision, there are other additionally resourced provisions (ARPs), attached to mainstream schools, </w:t>
      </w:r>
      <w:r w:rsidR="00A41B23">
        <w:rPr>
          <w:sz w:val="23"/>
          <w:szCs w:val="23"/>
          <w:lang w:bidi="en-GB"/>
        </w:rPr>
        <w:t>that</w:t>
      </w:r>
      <w:r w:rsidRPr="00656E54">
        <w:rPr>
          <w:sz w:val="23"/>
          <w:szCs w:val="23"/>
          <w:lang w:bidi="en-GB"/>
        </w:rPr>
        <w:t xml:space="preserve"> offer short-term placements providing early intervention and support. Places are accessed through school referrals and children remain dual rolled at their mainstream school. </w:t>
      </w:r>
    </w:p>
    <w:p w14:paraId="3A0E021B" w14:textId="77777777" w:rsidR="00CF4D93" w:rsidRDefault="00CF4D93" w:rsidP="00755480">
      <w:pPr>
        <w:pStyle w:val="Default"/>
        <w:rPr>
          <w:sz w:val="23"/>
          <w:szCs w:val="23"/>
          <w:lang w:bidi="en-GB"/>
        </w:rPr>
      </w:pPr>
    </w:p>
    <w:p w14:paraId="4673924F" w14:textId="77777777" w:rsidR="00755480" w:rsidRPr="00656E54" w:rsidRDefault="00755480" w:rsidP="00755480">
      <w:pPr>
        <w:pStyle w:val="Default"/>
        <w:rPr>
          <w:sz w:val="23"/>
          <w:szCs w:val="23"/>
          <w:lang w:bidi="en-GB"/>
        </w:rPr>
      </w:pPr>
      <w:r w:rsidRPr="00656E54">
        <w:rPr>
          <w:sz w:val="23"/>
          <w:szCs w:val="23"/>
          <w:lang w:bidi="en-GB"/>
        </w:rPr>
        <w:t>These placements are therefore not available to children without a mainstream school place:</w:t>
      </w:r>
    </w:p>
    <w:p w14:paraId="5AC0CBFF" w14:textId="77777777" w:rsidR="00755480" w:rsidRPr="00656E54" w:rsidRDefault="00755480" w:rsidP="00755480">
      <w:pPr>
        <w:pStyle w:val="Default"/>
        <w:numPr>
          <w:ilvl w:val="0"/>
          <w:numId w:val="9"/>
        </w:numPr>
        <w:rPr>
          <w:sz w:val="23"/>
          <w:szCs w:val="23"/>
          <w:lang w:bidi="en-GB"/>
        </w:rPr>
      </w:pPr>
      <w:r w:rsidRPr="00656E54">
        <w:rPr>
          <w:sz w:val="23"/>
          <w:szCs w:val="23"/>
          <w:lang w:bidi="en-GB"/>
        </w:rPr>
        <w:t xml:space="preserve">The Brookfield School </w:t>
      </w:r>
      <w:r w:rsidR="00717A48">
        <w:rPr>
          <w:sz w:val="23"/>
          <w:szCs w:val="23"/>
          <w:lang w:bidi="en-GB"/>
        </w:rPr>
        <w:t xml:space="preserve">- </w:t>
      </w:r>
      <w:r w:rsidRPr="00656E54">
        <w:rPr>
          <w:sz w:val="23"/>
          <w:szCs w:val="23"/>
          <w:lang w:bidi="en-GB"/>
        </w:rPr>
        <w:t>short term provision/intervention places for children with SEMH</w:t>
      </w:r>
    </w:p>
    <w:p w14:paraId="315ED3AC" w14:textId="77777777" w:rsidR="00755480" w:rsidRPr="00656E54" w:rsidRDefault="00755480" w:rsidP="00755480">
      <w:pPr>
        <w:pStyle w:val="Default"/>
        <w:numPr>
          <w:ilvl w:val="0"/>
          <w:numId w:val="9"/>
        </w:numPr>
        <w:rPr>
          <w:sz w:val="23"/>
          <w:szCs w:val="23"/>
          <w:lang w:bidi="en-GB"/>
        </w:rPr>
      </w:pPr>
      <w:r w:rsidRPr="00656E54">
        <w:rPr>
          <w:sz w:val="23"/>
          <w:szCs w:val="23"/>
          <w:lang w:bidi="en-GB"/>
        </w:rPr>
        <w:t xml:space="preserve">Key Stage 1 Nurture </w:t>
      </w:r>
      <w:r w:rsidR="00D90C68">
        <w:rPr>
          <w:sz w:val="23"/>
          <w:szCs w:val="23"/>
          <w:lang w:bidi="en-GB"/>
        </w:rPr>
        <w:t>Groups</w:t>
      </w:r>
      <w:r w:rsidRPr="00656E54">
        <w:rPr>
          <w:sz w:val="23"/>
          <w:szCs w:val="23"/>
          <w:lang w:bidi="en-GB"/>
        </w:rPr>
        <w:t xml:space="preserve"> – </w:t>
      </w:r>
      <w:r w:rsidR="00D90C68">
        <w:rPr>
          <w:sz w:val="23"/>
          <w:szCs w:val="23"/>
          <w:lang w:bidi="en-GB"/>
        </w:rPr>
        <w:t>7</w:t>
      </w:r>
      <w:r w:rsidRPr="00656E54">
        <w:rPr>
          <w:sz w:val="23"/>
          <w:szCs w:val="23"/>
          <w:lang w:bidi="en-GB"/>
        </w:rPr>
        <w:t xml:space="preserve"> place provision for intervention places in one of </w:t>
      </w:r>
      <w:r w:rsidR="00D90C68">
        <w:rPr>
          <w:sz w:val="23"/>
          <w:szCs w:val="23"/>
          <w:lang w:bidi="en-GB"/>
        </w:rPr>
        <w:t>five</w:t>
      </w:r>
      <w:r w:rsidRPr="00656E54">
        <w:rPr>
          <w:sz w:val="23"/>
          <w:szCs w:val="23"/>
          <w:lang w:bidi="en-GB"/>
        </w:rPr>
        <w:t xml:space="preserve"> </w:t>
      </w:r>
      <w:r w:rsidR="00D90C68">
        <w:rPr>
          <w:sz w:val="23"/>
          <w:szCs w:val="23"/>
          <w:lang w:bidi="en-GB"/>
        </w:rPr>
        <w:t>groups</w:t>
      </w:r>
      <w:r w:rsidRPr="00656E54">
        <w:rPr>
          <w:sz w:val="23"/>
          <w:szCs w:val="23"/>
          <w:lang w:bidi="en-GB"/>
        </w:rPr>
        <w:t xml:space="preserve"> in the following schools: Broadlands, Lea, </w:t>
      </w:r>
      <w:r w:rsidR="00D90C68">
        <w:rPr>
          <w:sz w:val="23"/>
          <w:szCs w:val="23"/>
          <w:lang w:bidi="en-GB"/>
        </w:rPr>
        <w:t xml:space="preserve">Ashfield Park, </w:t>
      </w:r>
      <w:r w:rsidRPr="00656E54">
        <w:rPr>
          <w:sz w:val="23"/>
          <w:szCs w:val="23"/>
          <w:lang w:bidi="en-GB"/>
        </w:rPr>
        <w:t>Lord Scudamore and Leominster</w:t>
      </w:r>
    </w:p>
    <w:p w14:paraId="1DEB45C1" w14:textId="77777777" w:rsidR="00755480" w:rsidRPr="00656E54" w:rsidRDefault="00755480" w:rsidP="00755480">
      <w:pPr>
        <w:pStyle w:val="Default"/>
        <w:numPr>
          <w:ilvl w:val="0"/>
          <w:numId w:val="9"/>
        </w:numPr>
        <w:rPr>
          <w:sz w:val="23"/>
          <w:szCs w:val="23"/>
          <w:lang w:bidi="en-GB"/>
        </w:rPr>
      </w:pPr>
      <w:r w:rsidRPr="00656E54">
        <w:rPr>
          <w:sz w:val="23"/>
          <w:szCs w:val="23"/>
          <w:lang w:bidi="en-GB"/>
        </w:rPr>
        <w:t xml:space="preserve">Key Stage 3 Nurture Hub – </w:t>
      </w:r>
      <w:r w:rsidR="00D90C68" w:rsidRPr="00BA52F2">
        <w:rPr>
          <w:sz w:val="23"/>
          <w:szCs w:val="23"/>
          <w:lang w:bidi="en-GB"/>
        </w:rPr>
        <w:t>12</w:t>
      </w:r>
      <w:r w:rsidRPr="00656E54">
        <w:rPr>
          <w:sz w:val="23"/>
          <w:szCs w:val="23"/>
          <w:lang w:bidi="en-GB"/>
        </w:rPr>
        <w:t xml:space="preserve"> place provision for intervention places at Earl Mortimer College</w:t>
      </w:r>
    </w:p>
    <w:p w14:paraId="65DFAF8A" w14:textId="77777777" w:rsidR="00CF4D93" w:rsidRDefault="00CF4D93" w:rsidP="00755480">
      <w:pPr>
        <w:pStyle w:val="Default"/>
        <w:rPr>
          <w:sz w:val="23"/>
          <w:szCs w:val="23"/>
          <w:lang w:bidi="en-GB"/>
        </w:rPr>
      </w:pPr>
    </w:p>
    <w:p w14:paraId="515E2456" w14:textId="6FAD84A6" w:rsidR="00755480" w:rsidRDefault="00755480" w:rsidP="00755480">
      <w:pPr>
        <w:pStyle w:val="Default"/>
        <w:rPr>
          <w:sz w:val="23"/>
          <w:szCs w:val="23"/>
          <w:lang w:bidi="en-GB"/>
        </w:rPr>
      </w:pPr>
      <w:r w:rsidRPr="00656E54">
        <w:rPr>
          <w:sz w:val="23"/>
          <w:szCs w:val="23"/>
          <w:lang w:bidi="en-GB"/>
        </w:rPr>
        <w:t xml:space="preserve">Access to the nurture hubs is via a referral from the </w:t>
      </w:r>
      <w:r w:rsidR="00CF4D93">
        <w:rPr>
          <w:sz w:val="23"/>
          <w:szCs w:val="23"/>
          <w:lang w:bidi="en-GB"/>
        </w:rPr>
        <w:t>SEMH Inclusion Service (formally the Behaviour Support Team)</w:t>
      </w:r>
      <w:r w:rsidRPr="00656E54">
        <w:rPr>
          <w:sz w:val="23"/>
          <w:szCs w:val="23"/>
          <w:lang w:bidi="en-GB"/>
        </w:rPr>
        <w:t>. Pupils are dual registered when they attend a nurture hub.</w:t>
      </w:r>
      <w:r w:rsidR="00CF4D93">
        <w:rPr>
          <w:sz w:val="23"/>
          <w:szCs w:val="23"/>
          <w:lang w:bidi="en-GB"/>
        </w:rPr>
        <w:t xml:space="preserve"> </w:t>
      </w:r>
      <w:r w:rsidRPr="00656E54">
        <w:rPr>
          <w:sz w:val="23"/>
          <w:szCs w:val="23"/>
          <w:lang w:bidi="en-GB"/>
        </w:rPr>
        <w:t>In addition to the above there are a small number of private independent and unregistered providers of alternative provision in Herefordshire that are commissioned by the local authority and schools</w:t>
      </w:r>
      <w:r w:rsidR="00967E54">
        <w:rPr>
          <w:sz w:val="23"/>
          <w:szCs w:val="23"/>
          <w:lang w:bidi="en-GB"/>
        </w:rPr>
        <w:t>, for more details please contact</w:t>
      </w:r>
      <w:r w:rsidR="00FC1A9F">
        <w:rPr>
          <w:sz w:val="23"/>
          <w:szCs w:val="23"/>
          <w:lang w:bidi="en-GB"/>
        </w:rPr>
        <w:t xml:space="preserve">: </w:t>
      </w:r>
      <w:hyperlink r:id="rId17" w:history="1">
        <w:r w:rsidR="00FC1A9F" w:rsidRPr="00C02F3C">
          <w:rPr>
            <w:rStyle w:val="Hyperlink"/>
            <w:sz w:val="23"/>
            <w:szCs w:val="23"/>
            <w:lang w:bidi="en-GB"/>
          </w:rPr>
          <w:t>alternativeprovision@herefordshire.gov.uk</w:t>
        </w:r>
      </w:hyperlink>
    </w:p>
    <w:p w14:paraId="3CDD7D84" w14:textId="77777777" w:rsidR="00D36EE7" w:rsidRPr="00A41B23" w:rsidRDefault="00D36EE7" w:rsidP="00E74C3D">
      <w:pPr>
        <w:pStyle w:val="Default"/>
        <w:ind w:left="1287"/>
        <w:rPr>
          <w:color w:val="auto"/>
          <w:sz w:val="23"/>
          <w:szCs w:val="23"/>
          <w:lang w:bidi="en-GB"/>
        </w:rPr>
      </w:pPr>
    </w:p>
    <w:p w14:paraId="1824FDE8" w14:textId="77777777" w:rsidR="00CF4D93" w:rsidRDefault="00CF4D93" w:rsidP="00755480">
      <w:pPr>
        <w:pStyle w:val="Default"/>
        <w:rPr>
          <w:b/>
          <w:sz w:val="23"/>
          <w:szCs w:val="23"/>
          <w:lang w:bidi="en-GB"/>
        </w:rPr>
      </w:pPr>
    </w:p>
    <w:p w14:paraId="3B373ADC" w14:textId="77777777" w:rsidR="00DF6B2F" w:rsidRDefault="00755480" w:rsidP="006B4075">
      <w:pPr>
        <w:pStyle w:val="Heading3"/>
      </w:pPr>
      <w:bookmarkStart w:id="14" w:name="_Toc197506918"/>
      <w:r w:rsidRPr="00656E54">
        <w:t>Key action points</w:t>
      </w:r>
      <w:r w:rsidR="00494E7D">
        <w:t>/ deliverables</w:t>
      </w:r>
      <w:bookmarkEnd w:id="14"/>
    </w:p>
    <w:p w14:paraId="5199264C" w14:textId="77777777" w:rsidR="00DF6B2F" w:rsidRDefault="00DF6B2F" w:rsidP="00DF6B2F">
      <w:pPr>
        <w:pStyle w:val="Default"/>
        <w:ind w:left="360"/>
        <w:rPr>
          <w:b/>
          <w:sz w:val="23"/>
          <w:szCs w:val="23"/>
          <w:lang w:bidi="en-GB"/>
        </w:rPr>
      </w:pPr>
    </w:p>
    <w:p w14:paraId="5E2D75A9" w14:textId="7ECEC128" w:rsidR="00755480" w:rsidRDefault="00DF6B2F" w:rsidP="00DF6B2F">
      <w:pPr>
        <w:pStyle w:val="Default"/>
        <w:ind w:left="360"/>
        <w:rPr>
          <w:b/>
          <w:sz w:val="23"/>
          <w:szCs w:val="23"/>
          <w:lang w:bidi="en-GB"/>
        </w:rPr>
      </w:pPr>
      <w:r>
        <w:rPr>
          <w:b/>
          <w:sz w:val="23"/>
          <w:szCs w:val="23"/>
          <w:lang w:bidi="en-GB"/>
        </w:rPr>
        <w:t>The following are headline deliverables reflected in service delivery plans for the relevant service areas.</w:t>
      </w:r>
    </w:p>
    <w:p w14:paraId="1107C012" w14:textId="77777777" w:rsidR="00437436" w:rsidRPr="00656E54" w:rsidRDefault="00437436" w:rsidP="00437436">
      <w:pPr>
        <w:pStyle w:val="Default"/>
        <w:ind w:left="720"/>
        <w:rPr>
          <w:b/>
          <w:sz w:val="23"/>
          <w:szCs w:val="23"/>
          <w:lang w:bidi="en-GB"/>
        </w:rPr>
      </w:pPr>
    </w:p>
    <w:p w14:paraId="716026B0" w14:textId="77777777" w:rsidR="00437436" w:rsidRPr="00437436" w:rsidRDefault="00437436" w:rsidP="00437436">
      <w:pPr>
        <w:pStyle w:val="Default"/>
        <w:numPr>
          <w:ilvl w:val="0"/>
          <w:numId w:val="29"/>
        </w:numPr>
        <w:rPr>
          <w:sz w:val="23"/>
          <w:szCs w:val="23"/>
          <w:lang w:bidi="en-GB"/>
        </w:rPr>
      </w:pPr>
      <w:r w:rsidRPr="00437436">
        <w:t>Align AP and SEND strategies</w:t>
      </w:r>
    </w:p>
    <w:p w14:paraId="10B917F7" w14:textId="77777777" w:rsidR="00437436" w:rsidRPr="00437436" w:rsidRDefault="00437436" w:rsidP="00437436">
      <w:pPr>
        <w:pStyle w:val="Default"/>
        <w:numPr>
          <w:ilvl w:val="0"/>
          <w:numId w:val="29"/>
        </w:numPr>
        <w:rPr>
          <w:sz w:val="23"/>
          <w:szCs w:val="23"/>
          <w:lang w:bidi="en-GB"/>
        </w:rPr>
      </w:pPr>
      <w:r w:rsidRPr="00437436">
        <w:rPr>
          <w:sz w:val="23"/>
          <w:szCs w:val="23"/>
          <w:lang w:bidi="en-GB"/>
        </w:rPr>
        <w:t>Create a list of Herefordshire providers of AP and their offer</w:t>
      </w:r>
    </w:p>
    <w:p w14:paraId="27D9131B" w14:textId="77777777" w:rsidR="00437436" w:rsidRPr="00437436" w:rsidRDefault="00437436" w:rsidP="001623BA">
      <w:pPr>
        <w:pStyle w:val="Default"/>
        <w:numPr>
          <w:ilvl w:val="0"/>
          <w:numId w:val="29"/>
        </w:numPr>
        <w:rPr>
          <w:sz w:val="23"/>
          <w:szCs w:val="23"/>
          <w:lang w:bidi="en-GB"/>
        </w:rPr>
      </w:pPr>
      <w:r w:rsidRPr="00437436">
        <w:rPr>
          <w:sz w:val="23"/>
          <w:szCs w:val="23"/>
          <w:lang w:bidi="en-GB"/>
        </w:rPr>
        <w:t>QA process to be moderated and consistently applied</w:t>
      </w:r>
    </w:p>
    <w:p w14:paraId="4DBECB60" w14:textId="77777777" w:rsidR="00437436" w:rsidRPr="00437436" w:rsidRDefault="00437436" w:rsidP="00437436">
      <w:pPr>
        <w:pStyle w:val="Default"/>
        <w:numPr>
          <w:ilvl w:val="1"/>
          <w:numId w:val="29"/>
        </w:numPr>
        <w:rPr>
          <w:sz w:val="23"/>
          <w:szCs w:val="23"/>
          <w:lang w:bidi="en-GB"/>
        </w:rPr>
      </w:pPr>
      <w:r w:rsidRPr="00437436">
        <w:rPr>
          <w:sz w:val="23"/>
          <w:szCs w:val="23"/>
          <w:lang w:bidi="en-GB"/>
        </w:rPr>
        <w:t>LA to share their QA process with schools</w:t>
      </w:r>
    </w:p>
    <w:p w14:paraId="2B8CF02D" w14:textId="77777777" w:rsidR="00437436" w:rsidRPr="00437436" w:rsidRDefault="00437436" w:rsidP="00437436">
      <w:pPr>
        <w:pStyle w:val="Default"/>
        <w:numPr>
          <w:ilvl w:val="1"/>
          <w:numId w:val="29"/>
        </w:numPr>
        <w:rPr>
          <w:sz w:val="23"/>
          <w:szCs w:val="23"/>
          <w:lang w:bidi="en-GB"/>
        </w:rPr>
      </w:pPr>
      <w:r w:rsidRPr="00437436">
        <w:rPr>
          <w:sz w:val="23"/>
          <w:szCs w:val="23"/>
          <w:lang w:bidi="en-GB"/>
        </w:rPr>
        <w:t>LA to ensure all LA commissioned places are QA’s and monitored</w:t>
      </w:r>
    </w:p>
    <w:p w14:paraId="58E6C111" w14:textId="77777777" w:rsidR="00437436" w:rsidRPr="00437436" w:rsidRDefault="00437436" w:rsidP="00FF37E3">
      <w:pPr>
        <w:pStyle w:val="Default"/>
        <w:numPr>
          <w:ilvl w:val="0"/>
          <w:numId w:val="27"/>
        </w:numPr>
        <w:rPr>
          <w:sz w:val="23"/>
          <w:szCs w:val="23"/>
          <w:lang w:bidi="en-GB"/>
        </w:rPr>
      </w:pPr>
      <w:r w:rsidRPr="00437436">
        <w:t>Gap Analysis – identify where areas of AP are not currently offered</w:t>
      </w:r>
      <w:r w:rsidRPr="00437436">
        <w:rPr>
          <w:sz w:val="23"/>
          <w:szCs w:val="23"/>
          <w:lang w:bidi="en-GB"/>
        </w:rPr>
        <w:t xml:space="preserve"> </w:t>
      </w:r>
    </w:p>
    <w:p w14:paraId="27899766" w14:textId="77777777" w:rsidR="00437436" w:rsidRPr="00437436" w:rsidRDefault="00437436" w:rsidP="00FF37E3">
      <w:pPr>
        <w:pStyle w:val="Default"/>
        <w:numPr>
          <w:ilvl w:val="0"/>
          <w:numId w:val="27"/>
        </w:numPr>
        <w:rPr>
          <w:sz w:val="23"/>
          <w:szCs w:val="23"/>
          <w:lang w:bidi="en-GB"/>
        </w:rPr>
      </w:pPr>
      <w:r w:rsidRPr="00437436">
        <w:t>To facilitate and commission places for primary aged children needing AP</w:t>
      </w:r>
    </w:p>
    <w:p w14:paraId="6481DEF2" w14:textId="77777777" w:rsidR="00437436" w:rsidRPr="00437436" w:rsidRDefault="00437436" w:rsidP="00FF37E3">
      <w:pPr>
        <w:pStyle w:val="Default"/>
        <w:numPr>
          <w:ilvl w:val="0"/>
          <w:numId w:val="27"/>
        </w:numPr>
        <w:rPr>
          <w:sz w:val="23"/>
          <w:szCs w:val="23"/>
          <w:lang w:bidi="en-GB"/>
        </w:rPr>
      </w:pPr>
      <w:r w:rsidRPr="00437436">
        <w:t>Encourage use of AP to reduce PEX so pupils remain in mainstream</w:t>
      </w:r>
    </w:p>
    <w:p w14:paraId="6552E146" w14:textId="77777777" w:rsidR="00827CAB" w:rsidRPr="00437436" w:rsidRDefault="00827CAB" w:rsidP="00FF37E3">
      <w:pPr>
        <w:pStyle w:val="Default"/>
        <w:numPr>
          <w:ilvl w:val="0"/>
          <w:numId w:val="27"/>
        </w:numPr>
        <w:rPr>
          <w:sz w:val="23"/>
          <w:szCs w:val="23"/>
          <w:lang w:bidi="en-GB"/>
        </w:rPr>
      </w:pPr>
      <w:r w:rsidRPr="00437436">
        <w:rPr>
          <w:sz w:val="23"/>
          <w:szCs w:val="23"/>
          <w:lang w:bidi="en-GB"/>
        </w:rPr>
        <w:t>To reduce permanent exclusions so that pupils remain in mainstream education</w:t>
      </w:r>
    </w:p>
    <w:p w14:paraId="379921D5" w14:textId="77777777" w:rsidR="00437436" w:rsidRPr="00437436" w:rsidRDefault="00437436" w:rsidP="00FF37E3">
      <w:pPr>
        <w:pStyle w:val="Default"/>
        <w:numPr>
          <w:ilvl w:val="0"/>
          <w:numId w:val="27"/>
        </w:numPr>
        <w:rPr>
          <w:sz w:val="23"/>
          <w:szCs w:val="23"/>
          <w:lang w:bidi="en-GB"/>
        </w:rPr>
      </w:pPr>
      <w:r w:rsidRPr="00437436">
        <w:t>Encourage use of AP to reduce PEX so pupils remain in mainstream</w:t>
      </w:r>
    </w:p>
    <w:p w14:paraId="08B3B555" w14:textId="77777777" w:rsidR="00437436" w:rsidRPr="00437436" w:rsidRDefault="00437436" w:rsidP="00437436">
      <w:pPr>
        <w:pStyle w:val="Default"/>
        <w:numPr>
          <w:ilvl w:val="0"/>
          <w:numId w:val="27"/>
        </w:numPr>
        <w:rPr>
          <w:sz w:val="23"/>
          <w:szCs w:val="23"/>
          <w:lang w:bidi="en-GB"/>
        </w:rPr>
      </w:pPr>
      <w:r w:rsidRPr="00437436">
        <w:rPr>
          <w:sz w:val="23"/>
          <w:szCs w:val="23"/>
          <w:lang w:bidi="en-GB"/>
        </w:rPr>
        <w:t>Support development of whole school resilience and relational approaches across all schools to ensure an effective early response to children and young people at risk of requiring alternative provision</w:t>
      </w:r>
    </w:p>
    <w:p w14:paraId="71404642" w14:textId="77777777" w:rsidR="00437436" w:rsidRPr="00437436" w:rsidRDefault="00437436" w:rsidP="00437436">
      <w:pPr>
        <w:pStyle w:val="Default"/>
        <w:numPr>
          <w:ilvl w:val="0"/>
          <w:numId w:val="27"/>
        </w:numPr>
        <w:rPr>
          <w:sz w:val="23"/>
          <w:szCs w:val="23"/>
          <w:lang w:bidi="en-GB"/>
        </w:rPr>
      </w:pPr>
      <w:r w:rsidRPr="00437436">
        <w:rPr>
          <w:sz w:val="23"/>
          <w:szCs w:val="23"/>
          <w:lang w:bidi="en-GB"/>
        </w:rPr>
        <w:t>Engage with school leaders &amp; partners to review the SEMH graduated response, consider the role of universal and targeted services and support for mental health and early help</w:t>
      </w:r>
    </w:p>
    <w:p w14:paraId="49D43DA6" w14:textId="77777777" w:rsidR="00437436" w:rsidRPr="00437436" w:rsidRDefault="00437436" w:rsidP="00437436">
      <w:pPr>
        <w:pStyle w:val="Default"/>
        <w:numPr>
          <w:ilvl w:val="0"/>
          <w:numId w:val="27"/>
        </w:numPr>
        <w:rPr>
          <w:sz w:val="23"/>
          <w:szCs w:val="23"/>
          <w:lang w:bidi="en-GB"/>
        </w:rPr>
      </w:pPr>
      <w:r w:rsidRPr="00437436">
        <w:t>Review effectiveness for early help/ early years and targeted support for pupils with SEMH and/ or risk of non-participation in education</w:t>
      </w:r>
    </w:p>
    <w:p w14:paraId="6E4DE3E4" w14:textId="77777777" w:rsidR="00437436" w:rsidRPr="00437436" w:rsidRDefault="00437436" w:rsidP="00437436">
      <w:pPr>
        <w:pStyle w:val="Default"/>
        <w:numPr>
          <w:ilvl w:val="0"/>
          <w:numId w:val="27"/>
        </w:numPr>
        <w:rPr>
          <w:sz w:val="23"/>
          <w:szCs w:val="23"/>
          <w:lang w:bidi="en-GB"/>
        </w:rPr>
      </w:pPr>
      <w:r w:rsidRPr="00437436">
        <w:rPr>
          <w:sz w:val="23"/>
          <w:szCs w:val="23"/>
          <w:lang w:bidi="en-GB"/>
        </w:rPr>
        <w:t>To identify the co-dependency between social care, early help, health and education that influence children’s pathways</w:t>
      </w:r>
    </w:p>
    <w:p w14:paraId="3D2C92D2" w14:textId="77777777" w:rsidR="00645CEB" w:rsidRPr="00437436" w:rsidRDefault="00437436" w:rsidP="00437436">
      <w:pPr>
        <w:pStyle w:val="Default"/>
        <w:numPr>
          <w:ilvl w:val="0"/>
          <w:numId w:val="27"/>
        </w:numPr>
        <w:rPr>
          <w:sz w:val="23"/>
          <w:szCs w:val="23"/>
          <w:lang w:bidi="en-GB"/>
        </w:rPr>
      </w:pPr>
      <w:r w:rsidRPr="00437436">
        <w:rPr>
          <w:sz w:val="23"/>
          <w:szCs w:val="23"/>
          <w:lang w:bidi="en-GB"/>
        </w:rPr>
        <w:t>Extend the Year 7 nurture group pilot across other secondary schools utilising the lessons learned from the extended pilot programme</w:t>
      </w:r>
    </w:p>
    <w:p w14:paraId="720958D4" w14:textId="77777777" w:rsidR="00437436" w:rsidRDefault="00437436" w:rsidP="00437436">
      <w:pPr>
        <w:pStyle w:val="ListParagraph"/>
        <w:numPr>
          <w:ilvl w:val="0"/>
          <w:numId w:val="27"/>
        </w:numPr>
        <w:rPr>
          <w:rFonts w:eastAsiaTheme="minorHAnsi"/>
          <w:color w:val="000000"/>
          <w:sz w:val="23"/>
          <w:szCs w:val="23"/>
          <w:lang w:eastAsia="en-US"/>
        </w:rPr>
      </w:pPr>
      <w:r w:rsidRPr="00437436">
        <w:rPr>
          <w:rFonts w:eastAsiaTheme="minorHAnsi"/>
          <w:color w:val="000000"/>
          <w:sz w:val="23"/>
          <w:szCs w:val="23"/>
          <w:lang w:eastAsia="en-US"/>
        </w:rPr>
        <w:t xml:space="preserve">To ensure sufficiency within our alternative provision settings </w:t>
      </w:r>
      <w:r w:rsidR="00397C77">
        <w:rPr>
          <w:rFonts w:eastAsiaTheme="minorHAnsi"/>
          <w:color w:val="000000"/>
          <w:sz w:val="23"/>
          <w:szCs w:val="23"/>
          <w:lang w:eastAsia="en-US"/>
        </w:rPr>
        <w:t>through</w:t>
      </w:r>
      <w:r w:rsidRPr="00437436">
        <w:rPr>
          <w:rFonts w:eastAsiaTheme="minorHAnsi"/>
          <w:color w:val="000000"/>
          <w:sz w:val="23"/>
          <w:szCs w:val="23"/>
          <w:lang w:eastAsia="en-US"/>
        </w:rPr>
        <w:t xml:space="preserve"> alignment between the planning for SEND and AP. </w:t>
      </w:r>
    </w:p>
    <w:p w14:paraId="6BA1B559" w14:textId="77777777" w:rsidR="00397C77" w:rsidRPr="00437436" w:rsidRDefault="00397C77" w:rsidP="00397C77">
      <w:pPr>
        <w:pStyle w:val="Default"/>
        <w:numPr>
          <w:ilvl w:val="0"/>
          <w:numId w:val="27"/>
        </w:numPr>
        <w:rPr>
          <w:sz w:val="23"/>
          <w:szCs w:val="23"/>
          <w:lang w:bidi="en-GB"/>
        </w:rPr>
      </w:pPr>
      <w:r w:rsidRPr="00437436">
        <w:rPr>
          <w:sz w:val="23"/>
          <w:szCs w:val="23"/>
          <w:lang w:bidi="en-GB"/>
        </w:rPr>
        <w:t xml:space="preserve">Review the impact of initiatives agreed in relation to universal and targeted support for mental health and wellbeing delivered through the area partnership </w:t>
      </w:r>
    </w:p>
    <w:p w14:paraId="35B70CBF" w14:textId="77777777" w:rsidR="00755480" w:rsidRPr="00437436" w:rsidRDefault="00437436" w:rsidP="00437436">
      <w:pPr>
        <w:pStyle w:val="Default"/>
        <w:numPr>
          <w:ilvl w:val="0"/>
          <w:numId w:val="27"/>
        </w:numPr>
        <w:rPr>
          <w:sz w:val="23"/>
          <w:szCs w:val="23"/>
          <w:lang w:bidi="en-GB"/>
        </w:rPr>
      </w:pPr>
      <w:r w:rsidRPr="00437436">
        <w:lastRenderedPageBreak/>
        <w:t>Develop the local area improvement plan – specific focus on the 3 tier model and how this will look in Herefordshire.</w:t>
      </w:r>
    </w:p>
    <w:p w14:paraId="4A70C724" w14:textId="77777777" w:rsidR="00437436" w:rsidRPr="00656E54" w:rsidRDefault="00437436" w:rsidP="00437436">
      <w:pPr>
        <w:pStyle w:val="Default"/>
        <w:ind w:left="720"/>
        <w:rPr>
          <w:sz w:val="23"/>
          <w:szCs w:val="23"/>
          <w:lang w:bidi="en-GB"/>
        </w:rPr>
      </w:pPr>
    </w:p>
    <w:p w14:paraId="63947C0E" w14:textId="52BF5906" w:rsidR="00755480" w:rsidRPr="00656E54" w:rsidRDefault="00755480" w:rsidP="006B4075">
      <w:pPr>
        <w:pStyle w:val="Heading3"/>
      </w:pPr>
      <w:bookmarkStart w:id="15" w:name="_Toc197506919"/>
      <w:r w:rsidRPr="00656E54">
        <w:t>Relevant Legislation/Guidance</w:t>
      </w:r>
      <w:bookmarkEnd w:id="15"/>
    </w:p>
    <w:p w14:paraId="526805F8" w14:textId="77777777" w:rsidR="00755480" w:rsidRPr="00656E54" w:rsidRDefault="00755480" w:rsidP="00755480">
      <w:pPr>
        <w:pStyle w:val="Default"/>
        <w:ind w:right="780"/>
        <w:rPr>
          <w:sz w:val="23"/>
          <w:szCs w:val="23"/>
          <w:lang w:bidi="en-GB"/>
        </w:rPr>
      </w:pPr>
    </w:p>
    <w:p w14:paraId="7BB9CF9C"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The Education Act 1996</w:t>
      </w:r>
    </w:p>
    <w:p w14:paraId="225E8FAE"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The Children and Families Act 2014 and supporting Regulations and Code of Practice</w:t>
      </w:r>
    </w:p>
    <w:p w14:paraId="20BAD15E"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Statutory Guidance: Children missing education</w:t>
      </w:r>
    </w:p>
    <w:p w14:paraId="39FEBDBE"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Statutory Guidance: Education for children with health needs who cannot attend school</w:t>
      </w:r>
    </w:p>
    <w:p w14:paraId="7CC1FD82"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Statutory Guidance: Alternative Provision</w:t>
      </w:r>
    </w:p>
    <w:p w14:paraId="39275C1D" w14:textId="77777777" w:rsidR="00755480" w:rsidRPr="00656E54" w:rsidRDefault="00755480" w:rsidP="00755480">
      <w:pPr>
        <w:pStyle w:val="Default"/>
        <w:numPr>
          <w:ilvl w:val="1"/>
          <w:numId w:val="7"/>
        </w:numPr>
        <w:ind w:right="780"/>
        <w:rPr>
          <w:sz w:val="23"/>
          <w:szCs w:val="23"/>
          <w:lang w:bidi="en-GB"/>
        </w:rPr>
      </w:pPr>
      <w:r w:rsidRPr="00656E54">
        <w:rPr>
          <w:sz w:val="23"/>
          <w:szCs w:val="23"/>
          <w:lang w:bidi="en-GB"/>
        </w:rPr>
        <w:t>LGO Guidance: Out of school, out of mind?</w:t>
      </w:r>
    </w:p>
    <w:p w14:paraId="36058FFD" w14:textId="77777777" w:rsidR="00755480" w:rsidRPr="00656E54" w:rsidRDefault="00755480" w:rsidP="00755480">
      <w:pPr>
        <w:pStyle w:val="Default"/>
        <w:rPr>
          <w:sz w:val="23"/>
          <w:szCs w:val="23"/>
          <w:lang w:bidi="en-GB"/>
        </w:rPr>
      </w:pPr>
    </w:p>
    <w:p w14:paraId="0E71B361" w14:textId="77777777" w:rsidR="00755480" w:rsidRPr="00656E54" w:rsidRDefault="00755480" w:rsidP="00755480">
      <w:pPr>
        <w:pStyle w:val="Default"/>
        <w:rPr>
          <w:sz w:val="23"/>
          <w:szCs w:val="23"/>
          <w:lang w:bidi="en-GB"/>
        </w:rPr>
      </w:pPr>
    </w:p>
    <w:p w14:paraId="3AFB5B3E" w14:textId="77777777" w:rsidR="00755480" w:rsidRPr="00656E54" w:rsidRDefault="00755480" w:rsidP="00755480">
      <w:pPr>
        <w:pStyle w:val="Default"/>
        <w:rPr>
          <w:sz w:val="23"/>
          <w:szCs w:val="23"/>
          <w:lang w:bidi="en-GB"/>
        </w:rPr>
      </w:pPr>
    </w:p>
    <w:p w14:paraId="57E82C8B" w14:textId="77777777" w:rsidR="00755480" w:rsidRPr="00656E54" w:rsidRDefault="00755480" w:rsidP="00755480">
      <w:pPr>
        <w:pStyle w:val="Default"/>
        <w:ind w:right="780"/>
        <w:rPr>
          <w:sz w:val="23"/>
          <w:szCs w:val="23"/>
        </w:rPr>
      </w:pPr>
    </w:p>
    <w:p w14:paraId="0101B43B" w14:textId="77777777" w:rsidR="00755480" w:rsidRPr="00656E54" w:rsidRDefault="00755480" w:rsidP="00755480">
      <w:pPr>
        <w:pStyle w:val="Default"/>
        <w:rPr>
          <w:sz w:val="23"/>
          <w:szCs w:val="23"/>
        </w:rPr>
      </w:pPr>
    </w:p>
    <w:p w14:paraId="396BE5D8" w14:textId="77777777" w:rsidR="00755480" w:rsidRPr="00656E54" w:rsidRDefault="00755480" w:rsidP="00755480">
      <w:pPr>
        <w:pStyle w:val="Default"/>
        <w:rPr>
          <w:sz w:val="23"/>
          <w:szCs w:val="23"/>
        </w:rPr>
      </w:pPr>
    </w:p>
    <w:p w14:paraId="7B5D61F6" w14:textId="77777777" w:rsidR="00755480" w:rsidRPr="00656E54" w:rsidRDefault="00755480" w:rsidP="00755480">
      <w:pPr>
        <w:pStyle w:val="Default"/>
        <w:ind w:right="780"/>
        <w:rPr>
          <w:sz w:val="23"/>
          <w:szCs w:val="23"/>
        </w:rPr>
      </w:pPr>
    </w:p>
    <w:p w14:paraId="48842582" w14:textId="77777777" w:rsidR="006E0668" w:rsidRPr="00656E54" w:rsidRDefault="006E0668" w:rsidP="00656E54">
      <w:pPr>
        <w:pStyle w:val="Default"/>
        <w:ind w:right="780"/>
        <w:rPr>
          <w:sz w:val="23"/>
          <w:szCs w:val="23"/>
        </w:rPr>
      </w:pPr>
    </w:p>
    <w:sectPr w:rsidR="006E0668" w:rsidRPr="00656E54" w:rsidSect="009A1590">
      <w:headerReference w:type="even" r:id="rId18"/>
      <w:headerReference w:type="default" r:id="rId19"/>
      <w:headerReference w:type="first" r:id="rId20"/>
      <w:pgSz w:w="11906" w:h="17837"/>
      <w:pgMar w:top="980" w:right="158" w:bottom="478" w:left="47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3957" w14:textId="77777777" w:rsidR="00967E54" w:rsidRDefault="00967E54" w:rsidP="00967E54">
      <w:r>
        <w:separator/>
      </w:r>
    </w:p>
  </w:endnote>
  <w:endnote w:type="continuationSeparator" w:id="0">
    <w:p w14:paraId="698E11EB" w14:textId="77777777" w:rsidR="00967E54" w:rsidRDefault="00967E54" w:rsidP="00967E54">
      <w:r>
        <w:continuationSeparator/>
      </w:r>
    </w:p>
  </w:endnote>
  <w:endnote w:type="continuationNotice" w:id="1">
    <w:p w14:paraId="7929F071" w14:textId="77777777" w:rsidR="00FF0753" w:rsidRDefault="00FF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D85B" w14:textId="77777777" w:rsidR="00967E54" w:rsidRDefault="00967E54" w:rsidP="00967E54">
      <w:r>
        <w:separator/>
      </w:r>
    </w:p>
  </w:footnote>
  <w:footnote w:type="continuationSeparator" w:id="0">
    <w:p w14:paraId="5AF8D7A1" w14:textId="77777777" w:rsidR="00967E54" w:rsidRDefault="00967E54" w:rsidP="00967E54">
      <w:r>
        <w:continuationSeparator/>
      </w:r>
    </w:p>
  </w:footnote>
  <w:footnote w:type="continuationNotice" w:id="1">
    <w:p w14:paraId="10ECE680" w14:textId="77777777" w:rsidR="00FF0753" w:rsidRDefault="00FF07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D388" w14:textId="0D16E898" w:rsidR="00967E54" w:rsidRDefault="00967E54">
    <w:pPr>
      <w:pStyle w:val="Header"/>
    </w:pPr>
    <w:r>
      <w:rPr>
        <w:noProof/>
      </w:rPr>
      <mc:AlternateContent>
        <mc:Choice Requires="wps">
          <w:drawing>
            <wp:inline distT="0" distB="0" distL="0" distR="0" wp14:anchorId="0FB2C167" wp14:editId="57B2582B">
              <wp:extent cx="459740" cy="345440"/>
              <wp:effectExtent l="0" t="0" r="16510" b="16510"/>
              <wp:docPr id="1361842054"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8A4814" w14:textId="78FC2152"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B2C167" id="_x0000_t202" coordsize="21600,21600" o:spt="202" path="m,l,21600r21600,l21600,xe">
              <v:stroke joinstyle="miter"/>
              <v:path gradientshapeok="t" o:connecttype="rect"/>
            </v:shapetype>
            <v:shape id="Text Box 2" o:spid="_x0000_s1026" type="#_x0000_t202" alt="OFFICIAL" style="width:36.2pt;height:27.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" filled="f" stroked="f">
              <v:textbox style="mso-fit-shape-to-text:t" inset="0,15pt,0,0">
                <w:txbxContent>
                  <w:p w14:paraId="698A4814" w14:textId="78FC2152"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3741" w14:textId="07EA55C1" w:rsidR="00967E54" w:rsidRDefault="00967E54">
    <w:pPr>
      <w:pStyle w:val="Header"/>
    </w:pPr>
    <w:r>
      <w:rPr>
        <w:noProof/>
      </w:rPr>
      <mc:AlternateContent>
        <mc:Choice Requires="wps">
          <w:drawing>
            <wp:inline distT="0" distB="0" distL="0" distR="0" wp14:anchorId="55EFD282" wp14:editId="416D6062">
              <wp:extent cx="459740" cy="345440"/>
              <wp:effectExtent l="0" t="0" r="16510" b="16510"/>
              <wp:docPr id="864985023"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828A18" w14:textId="6DF88BF0"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5EFD282" id="_x0000_t202" coordsize="21600,21600" o:spt="202" path="m,l,21600r21600,l21600,xe">
              <v:stroke joinstyle="miter"/>
              <v:path gradientshapeok="t" o:connecttype="rect"/>
            </v:shapetype>
            <v:shape id="Text Box 3" o:spid="_x0000_s1027" type="#_x0000_t202" alt="OFFICIAL" style="width:36.2pt;height:27.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A474UrbgIAAK8EAAAOAAAAAAAAAAAAAAAAAC4C&#10;AABkcnMvZTJvRG9jLnhtbFBLAQItABQABgAIAAAAIQDAmlAc2gAAAAMBAAAPAAAAAAAAAAAAAAAA&#10;AMgEAABkcnMvZG93bnJldi54bWxQSwUGAAAAAAQABADzAAAAzwUAAAAA&#10;" filled="f" stroked="f">
              <v:textbox style="mso-fit-shape-to-text:t" inset="0,15pt,0,0">
                <w:txbxContent>
                  <w:p w14:paraId="1F828A18" w14:textId="6DF88BF0"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93EF" w14:textId="4A6DDB56" w:rsidR="00967E54" w:rsidRDefault="00967E54">
    <w:pPr>
      <w:pStyle w:val="Header"/>
    </w:pPr>
    <w:bookmarkStart w:id="16" w:name="_GoBack"/>
    <w:r>
      <w:rPr>
        <w:noProof/>
      </w:rPr>
      <mc:AlternateContent>
        <mc:Choice Requires="wps">
          <w:drawing>
            <wp:inline distT="0" distB="0" distL="0" distR="0" wp14:anchorId="368B18D9" wp14:editId="11451C5E">
              <wp:extent cx="459740" cy="345440"/>
              <wp:effectExtent l="0" t="0" r="16510" b="16510"/>
              <wp:docPr id="1664445397"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0D0BAFF" w14:textId="72A2A1BA"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68B18D9" id="_x0000_t202" coordsize="21600,21600" o:spt="202" path="m,l,21600r21600,l21600,xe">
              <v:stroke joinstyle="miter"/>
              <v:path gradientshapeok="t" o:connecttype="rect"/>
            </v:shapetype>
            <v:shape id="Text Box 1" o:spid="_x0000_s1028" type="#_x0000_t202" alt="OFFICIAL" style="width:36.2pt;height:27.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AaaEYvbgIAALAEAAAOAAAAAAAAAAAAAAAAAC4C&#10;AABkcnMvZTJvRG9jLnhtbFBLAQItABQABgAIAAAAIQDAmlAc2gAAAAMBAAAPAAAAAAAAAAAAAAAA&#10;AMgEAABkcnMvZG93bnJldi54bWxQSwUGAAAAAAQABADzAAAAzwUAAAAA&#10;" filled="f" stroked="f">
              <v:textbox style="mso-fit-shape-to-text:t" inset="0,15pt,0,0">
                <w:txbxContent>
                  <w:p w14:paraId="50D0BAFF" w14:textId="72A2A1BA" w:rsidR="00967E54" w:rsidRPr="00967E54" w:rsidRDefault="00967E54" w:rsidP="00967E54">
                    <w:pPr>
                      <w:rPr>
                        <w:rFonts w:ascii="Calibri" w:eastAsia="Calibri" w:hAnsi="Calibri" w:cs="Calibri"/>
                        <w:noProof/>
                        <w:color w:val="0000FF"/>
                        <w:sz w:val="20"/>
                      </w:rPr>
                    </w:pPr>
                    <w:r w:rsidRPr="00967E54">
                      <w:rPr>
                        <w:rFonts w:ascii="Calibri" w:eastAsia="Calibri" w:hAnsi="Calibri" w:cs="Calibri"/>
                        <w:noProof/>
                        <w:color w:val="0000FF"/>
                        <w:sz w:val="20"/>
                      </w:rPr>
                      <w:t>OFFICIAL</w:t>
                    </w:r>
                  </w:p>
                </w:txbxContent>
              </v:textbox>
              <w10:anchorlock/>
            </v:shape>
          </w:pict>
        </mc:Fallback>
      </mc:AlternateConten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982"/>
    <w:multiLevelType w:val="hybridMultilevel"/>
    <w:tmpl w:val="8346BD4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B56C77"/>
    <w:multiLevelType w:val="hybridMultilevel"/>
    <w:tmpl w:val="7514F42E"/>
    <w:lvl w:ilvl="0" w:tplc="4906F3F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91472"/>
    <w:multiLevelType w:val="hybridMultilevel"/>
    <w:tmpl w:val="4D981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D442E"/>
    <w:multiLevelType w:val="hybridMultilevel"/>
    <w:tmpl w:val="C5225A22"/>
    <w:lvl w:ilvl="0" w:tplc="5E987512">
      <w:start w:val="1"/>
      <w:numFmt w:val="decimal"/>
      <w:lvlText w:val="%1."/>
      <w:lvlJc w:val="left"/>
      <w:pPr>
        <w:ind w:left="986" w:hanging="721"/>
      </w:pPr>
      <w:rPr>
        <w:rFonts w:ascii="Arial" w:eastAsia="Arial" w:hAnsi="Arial" w:cs="Arial" w:hint="default"/>
        <w:b/>
        <w:bCs/>
        <w:spacing w:val="-1"/>
        <w:w w:val="100"/>
        <w:sz w:val="28"/>
        <w:szCs w:val="28"/>
        <w:lang w:val="en-GB" w:eastAsia="en-GB" w:bidi="en-GB"/>
      </w:rPr>
    </w:lvl>
    <w:lvl w:ilvl="1" w:tplc="9250B0D6">
      <w:numFmt w:val="bullet"/>
      <w:lvlText w:val=""/>
      <w:lvlJc w:val="left"/>
      <w:pPr>
        <w:ind w:left="986" w:hanging="361"/>
      </w:pPr>
      <w:rPr>
        <w:rFonts w:hint="default"/>
        <w:w w:val="100"/>
        <w:lang w:val="en-GB" w:eastAsia="en-GB" w:bidi="en-GB"/>
      </w:rPr>
    </w:lvl>
    <w:lvl w:ilvl="2" w:tplc="9622084C">
      <w:numFmt w:val="bullet"/>
      <w:lvlText w:val="•"/>
      <w:lvlJc w:val="left"/>
      <w:pPr>
        <w:ind w:left="2080" w:hanging="361"/>
      </w:pPr>
      <w:rPr>
        <w:rFonts w:hint="default"/>
        <w:lang w:val="en-GB" w:eastAsia="en-GB" w:bidi="en-GB"/>
      </w:rPr>
    </w:lvl>
    <w:lvl w:ilvl="3" w:tplc="B9A466AA">
      <w:numFmt w:val="bullet"/>
      <w:lvlText w:val="•"/>
      <w:lvlJc w:val="left"/>
      <w:pPr>
        <w:ind w:left="3181" w:hanging="361"/>
      </w:pPr>
      <w:rPr>
        <w:rFonts w:hint="default"/>
        <w:lang w:val="en-GB" w:eastAsia="en-GB" w:bidi="en-GB"/>
      </w:rPr>
    </w:lvl>
    <w:lvl w:ilvl="4" w:tplc="14068A9E">
      <w:numFmt w:val="bullet"/>
      <w:lvlText w:val="•"/>
      <w:lvlJc w:val="left"/>
      <w:pPr>
        <w:ind w:left="4282" w:hanging="361"/>
      </w:pPr>
      <w:rPr>
        <w:rFonts w:hint="default"/>
        <w:lang w:val="en-GB" w:eastAsia="en-GB" w:bidi="en-GB"/>
      </w:rPr>
    </w:lvl>
    <w:lvl w:ilvl="5" w:tplc="37FC3C44">
      <w:numFmt w:val="bullet"/>
      <w:lvlText w:val="•"/>
      <w:lvlJc w:val="left"/>
      <w:pPr>
        <w:ind w:left="5382" w:hanging="361"/>
      </w:pPr>
      <w:rPr>
        <w:rFonts w:hint="default"/>
        <w:lang w:val="en-GB" w:eastAsia="en-GB" w:bidi="en-GB"/>
      </w:rPr>
    </w:lvl>
    <w:lvl w:ilvl="6" w:tplc="4F3072C8">
      <w:numFmt w:val="bullet"/>
      <w:lvlText w:val="•"/>
      <w:lvlJc w:val="left"/>
      <w:pPr>
        <w:ind w:left="6483" w:hanging="361"/>
      </w:pPr>
      <w:rPr>
        <w:rFonts w:hint="default"/>
        <w:lang w:val="en-GB" w:eastAsia="en-GB" w:bidi="en-GB"/>
      </w:rPr>
    </w:lvl>
    <w:lvl w:ilvl="7" w:tplc="C5C4A1AC">
      <w:numFmt w:val="bullet"/>
      <w:lvlText w:val="•"/>
      <w:lvlJc w:val="left"/>
      <w:pPr>
        <w:ind w:left="7584" w:hanging="361"/>
      </w:pPr>
      <w:rPr>
        <w:rFonts w:hint="default"/>
        <w:lang w:val="en-GB" w:eastAsia="en-GB" w:bidi="en-GB"/>
      </w:rPr>
    </w:lvl>
    <w:lvl w:ilvl="8" w:tplc="F684CE00">
      <w:numFmt w:val="bullet"/>
      <w:lvlText w:val="•"/>
      <w:lvlJc w:val="left"/>
      <w:pPr>
        <w:ind w:left="8684" w:hanging="361"/>
      </w:pPr>
      <w:rPr>
        <w:rFonts w:hint="default"/>
        <w:lang w:val="en-GB" w:eastAsia="en-GB" w:bidi="en-GB"/>
      </w:rPr>
    </w:lvl>
  </w:abstractNum>
  <w:abstractNum w:abstractNumId="4" w15:restartNumberingAfterBreak="0">
    <w:nsid w:val="0BFE4ADD"/>
    <w:multiLevelType w:val="hybridMultilevel"/>
    <w:tmpl w:val="7EC4C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162B0"/>
    <w:multiLevelType w:val="hybridMultilevel"/>
    <w:tmpl w:val="7CF2C9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E9D40A5"/>
    <w:multiLevelType w:val="hybridMultilevel"/>
    <w:tmpl w:val="F6F235FC"/>
    <w:lvl w:ilvl="0" w:tplc="B9BE3E06">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86B7EF2"/>
    <w:multiLevelType w:val="hybridMultilevel"/>
    <w:tmpl w:val="B83A27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A526DE8"/>
    <w:multiLevelType w:val="hybridMultilevel"/>
    <w:tmpl w:val="03402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8207F"/>
    <w:multiLevelType w:val="hybridMultilevel"/>
    <w:tmpl w:val="CA828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D263D8"/>
    <w:multiLevelType w:val="hybridMultilevel"/>
    <w:tmpl w:val="F03E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46E4C"/>
    <w:multiLevelType w:val="hybridMultilevel"/>
    <w:tmpl w:val="2E12EF92"/>
    <w:lvl w:ilvl="0" w:tplc="98C8D4AA">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29F41FCE"/>
    <w:multiLevelType w:val="hybridMultilevel"/>
    <w:tmpl w:val="156AD9BE"/>
    <w:lvl w:ilvl="0" w:tplc="9ED86C2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46272E"/>
    <w:multiLevelType w:val="hybridMultilevel"/>
    <w:tmpl w:val="88DE4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55A7E"/>
    <w:multiLevelType w:val="hybridMultilevel"/>
    <w:tmpl w:val="3C9801B2"/>
    <w:lvl w:ilvl="0" w:tplc="98C8D4A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91C2514"/>
    <w:multiLevelType w:val="hybridMultilevel"/>
    <w:tmpl w:val="68D2C082"/>
    <w:lvl w:ilvl="0" w:tplc="677ED33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EC3CBE"/>
    <w:multiLevelType w:val="hybridMultilevel"/>
    <w:tmpl w:val="947004F8"/>
    <w:lvl w:ilvl="0" w:tplc="E61E9D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66EA9"/>
    <w:multiLevelType w:val="hybridMultilevel"/>
    <w:tmpl w:val="29BEB03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14773E0"/>
    <w:multiLevelType w:val="hybridMultilevel"/>
    <w:tmpl w:val="E76CD52E"/>
    <w:lvl w:ilvl="0" w:tplc="BF20A81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5E52DF"/>
    <w:multiLevelType w:val="hybridMultilevel"/>
    <w:tmpl w:val="0EA4EC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C1509ED"/>
    <w:multiLevelType w:val="hybridMultilevel"/>
    <w:tmpl w:val="F8E65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031193"/>
    <w:multiLevelType w:val="hybridMultilevel"/>
    <w:tmpl w:val="ECCE3992"/>
    <w:lvl w:ilvl="0" w:tplc="98C8D4A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57FBE"/>
    <w:multiLevelType w:val="hybridMultilevel"/>
    <w:tmpl w:val="C0D6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F2ED9"/>
    <w:multiLevelType w:val="hybridMultilevel"/>
    <w:tmpl w:val="DD441D9E"/>
    <w:lvl w:ilvl="0" w:tplc="928A5E3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0DE5FD1"/>
    <w:multiLevelType w:val="hybridMultilevel"/>
    <w:tmpl w:val="B000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343EF"/>
    <w:multiLevelType w:val="hybridMultilevel"/>
    <w:tmpl w:val="D6AAD6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C70598C"/>
    <w:multiLevelType w:val="hybridMultilevel"/>
    <w:tmpl w:val="62EC8A0E"/>
    <w:lvl w:ilvl="0" w:tplc="2A8C80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006E2"/>
    <w:multiLevelType w:val="hybridMultilevel"/>
    <w:tmpl w:val="F7F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568FB"/>
    <w:multiLevelType w:val="hybridMultilevel"/>
    <w:tmpl w:val="78889F70"/>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num w:numId="1">
    <w:abstractNumId w:val="19"/>
  </w:num>
  <w:num w:numId="2">
    <w:abstractNumId w:val="14"/>
  </w:num>
  <w:num w:numId="3">
    <w:abstractNumId w:val="11"/>
  </w:num>
  <w:num w:numId="4">
    <w:abstractNumId w:val="8"/>
  </w:num>
  <w:num w:numId="5">
    <w:abstractNumId w:val="21"/>
  </w:num>
  <w:num w:numId="6">
    <w:abstractNumId w:val="24"/>
  </w:num>
  <w:num w:numId="7">
    <w:abstractNumId w:val="3"/>
  </w:num>
  <w:num w:numId="8">
    <w:abstractNumId w:val="12"/>
  </w:num>
  <w:num w:numId="9">
    <w:abstractNumId w:val="7"/>
  </w:num>
  <w:num w:numId="10">
    <w:abstractNumId w:val="16"/>
  </w:num>
  <w:num w:numId="11">
    <w:abstractNumId w:val="1"/>
  </w:num>
  <w:num w:numId="12">
    <w:abstractNumId w:val="6"/>
  </w:num>
  <w:num w:numId="13">
    <w:abstractNumId w:val="0"/>
  </w:num>
  <w:num w:numId="14">
    <w:abstractNumId w:val="28"/>
  </w:num>
  <w:num w:numId="15">
    <w:abstractNumId w:val="23"/>
  </w:num>
  <w:num w:numId="16">
    <w:abstractNumId w:val="2"/>
  </w:num>
  <w:num w:numId="17">
    <w:abstractNumId w:val="4"/>
  </w:num>
  <w:num w:numId="18">
    <w:abstractNumId w:val="5"/>
  </w:num>
  <w:num w:numId="19">
    <w:abstractNumId w:val="15"/>
  </w:num>
  <w:num w:numId="20">
    <w:abstractNumId w:val="25"/>
  </w:num>
  <w:num w:numId="21">
    <w:abstractNumId w:val="17"/>
  </w:num>
  <w:num w:numId="22">
    <w:abstractNumId w:val="22"/>
  </w:num>
  <w:num w:numId="23">
    <w:abstractNumId w:val="27"/>
  </w:num>
  <w:num w:numId="24">
    <w:abstractNumId w:val="18"/>
  </w:num>
  <w:num w:numId="25">
    <w:abstractNumId w:val="24"/>
  </w:num>
  <w:num w:numId="26">
    <w:abstractNumId w:val="26"/>
  </w:num>
  <w:num w:numId="27">
    <w:abstractNumId w:val="10"/>
  </w:num>
  <w:num w:numId="28">
    <w:abstractNumId w:val="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DA"/>
    <w:rsid w:val="000B5D35"/>
    <w:rsid w:val="000D291D"/>
    <w:rsid w:val="00141642"/>
    <w:rsid w:val="001C32CB"/>
    <w:rsid w:val="00233A9E"/>
    <w:rsid w:val="002703B2"/>
    <w:rsid w:val="002A4439"/>
    <w:rsid w:val="002A7938"/>
    <w:rsid w:val="002C7308"/>
    <w:rsid w:val="002F042A"/>
    <w:rsid w:val="00312433"/>
    <w:rsid w:val="0039284D"/>
    <w:rsid w:val="00397C77"/>
    <w:rsid w:val="003C4BB4"/>
    <w:rsid w:val="004212E3"/>
    <w:rsid w:val="00437436"/>
    <w:rsid w:val="00494E7D"/>
    <w:rsid w:val="004A7C12"/>
    <w:rsid w:val="004B1968"/>
    <w:rsid w:val="004B5818"/>
    <w:rsid w:val="00515DEE"/>
    <w:rsid w:val="00545B1C"/>
    <w:rsid w:val="005475B2"/>
    <w:rsid w:val="00551DEE"/>
    <w:rsid w:val="00566A87"/>
    <w:rsid w:val="005840F6"/>
    <w:rsid w:val="005C03EE"/>
    <w:rsid w:val="005C1DC1"/>
    <w:rsid w:val="005D2904"/>
    <w:rsid w:val="005D560D"/>
    <w:rsid w:val="00602E85"/>
    <w:rsid w:val="00645CEB"/>
    <w:rsid w:val="006540DA"/>
    <w:rsid w:val="00656E54"/>
    <w:rsid w:val="006744A7"/>
    <w:rsid w:val="00674805"/>
    <w:rsid w:val="006A0EC7"/>
    <w:rsid w:val="006B4075"/>
    <w:rsid w:val="006C0B90"/>
    <w:rsid w:val="006E0668"/>
    <w:rsid w:val="007126A7"/>
    <w:rsid w:val="00717A48"/>
    <w:rsid w:val="007363E7"/>
    <w:rsid w:val="00744C46"/>
    <w:rsid w:val="00755480"/>
    <w:rsid w:val="00756F8B"/>
    <w:rsid w:val="007868CC"/>
    <w:rsid w:val="007B2CD8"/>
    <w:rsid w:val="007E051A"/>
    <w:rsid w:val="007E678B"/>
    <w:rsid w:val="00824E5F"/>
    <w:rsid w:val="00827CAB"/>
    <w:rsid w:val="00837128"/>
    <w:rsid w:val="0084328F"/>
    <w:rsid w:val="008620BA"/>
    <w:rsid w:val="00874788"/>
    <w:rsid w:val="008B5B8D"/>
    <w:rsid w:val="008D3933"/>
    <w:rsid w:val="008D7398"/>
    <w:rsid w:val="008F2E8B"/>
    <w:rsid w:val="00967E54"/>
    <w:rsid w:val="00A37BE5"/>
    <w:rsid w:val="00A41B23"/>
    <w:rsid w:val="00AC5970"/>
    <w:rsid w:val="00B15582"/>
    <w:rsid w:val="00B42433"/>
    <w:rsid w:val="00B6444E"/>
    <w:rsid w:val="00B71224"/>
    <w:rsid w:val="00B92395"/>
    <w:rsid w:val="00BA3FAF"/>
    <w:rsid w:val="00BA52F2"/>
    <w:rsid w:val="00BB4F3D"/>
    <w:rsid w:val="00BB65E6"/>
    <w:rsid w:val="00BE3984"/>
    <w:rsid w:val="00BF3954"/>
    <w:rsid w:val="00C102A0"/>
    <w:rsid w:val="00C3089C"/>
    <w:rsid w:val="00C42C62"/>
    <w:rsid w:val="00C65D48"/>
    <w:rsid w:val="00C77F11"/>
    <w:rsid w:val="00C82F8F"/>
    <w:rsid w:val="00CC1A02"/>
    <w:rsid w:val="00CF4D93"/>
    <w:rsid w:val="00D26016"/>
    <w:rsid w:val="00D301F5"/>
    <w:rsid w:val="00D36EE7"/>
    <w:rsid w:val="00D42AFB"/>
    <w:rsid w:val="00D477A7"/>
    <w:rsid w:val="00D90C68"/>
    <w:rsid w:val="00DC765E"/>
    <w:rsid w:val="00DF28EE"/>
    <w:rsid w:val="00DF6B2F"/>
    <w:rsid w:val="00E23D4C"/>
    <w:rsid w:val="00E40F19"/>
    <w:rsid w:val="00E41B35"/>
    <w:rsid w:val="00E74C3D"/>
    <w:rsid w:val="00EA4F2C"/>
    <w:rsid w:val="00F04617"/>
    <w:rsid w:val="00F1512B"/>
    <w:rsid w:val="00F501E1"/>
    <w:rsid w:val="00F63BFD"/>
    <w:rsid w:val="00FC1A9F"/>
    <w:rsid w:val="00FC7075"/>
    <w:rsid w:val="00FF0753"/>
    <w:rsid w:val="00FF08A9"/>
    <w:rsid w:val="00FF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812D"/>
  <w15:chartTrackingRefBased/>
  <w15:docId w15:val="{F882AAD2-E916-4D01-B637-28BC4312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6C0B90"/>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C82F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D7398"/>
    <w:pPr>
      <w:widowControl w:val="0"/>
      <w:autoSpaceDE w:val="0"/>
      <w:autoSpaceDN w:val="0"/>
      <w:ind w:left="265"/>
      <w:outlineLvl w:val="1"/>
    </w:pPr>
    <w:rPr>
      <w:rFonts w:eastAsia="Arial"/>
      <w:b/>
      <w:bCs/>
      <w:sz w:val="24"/>
      <w:szCs w:val="24"/>
      <w:lang w:bidi="en-GB"/>
    </w:rPr>
  </w:style>
  <w:style w:type="paragraph" w:styleId="Heading3">
    <w:name w:val="heading 3"/>
    <w:basedOn w:val="Normal"/>
    <w:next w:val="Normal"/>
    <w:link w:val="Heading3Char"/>
    <w:uiPriority w:val="9"/>
    <w:unhideWhenUsed/>
    <w:qFormat/>
    <w:rsid w:val="006B40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40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0B90"/>
    <w:rPr>
      <w:color w:val="0563C1" w:themeColor="hyperlink"/>
      <w:u w:val="single"/>
    </w:rPr>
  </w:style>
  <w:style w:type="paragraph" w:styleId="BodyText">
    <w:name w:val="Body Text"/>
    <w:basedOn w:val="Normal"/>
    <w:link w:val="BodyTextChar"/>
    <w:uiPriority w:val="1"/>
    <w:qFormat/>
    <w:rsid w:val="00744C46"/>
    <w:pPr>
      <w:widowControl w:val="0"/>
      <w:autoSpaceDE w:val="0"/>
      <w:autoSpaceDN w:val="0"/>
    </w:pPr>
    <w:rPr>
      <w:rFonts w:eastAsia="Arial"/>
      <w:sz w:val="24"/>
      <w:szCs w:val="24"/>
      <w:lang w:bidi="en-GB"/>
    </w:rPr>
  </w:style>
  <w:style w:type="character" w:customStyle="1" w:styleId="BodyTextChar">
    <w:name w:val="Body Text Char"/>
    <w:basedOn w:val="DefaultParagraphFont"/>
    <w:link w:val="BodyText"/>
    <w:uiPriority w:val="1"/>
    <w:rsid w:val="00744C46"/>
    <w:rPr>
      <w:rFonts w:ascii="Arial" w:eastAsia="Arial" w:hAnsi="Arial" w:cs="Arial"/>
      <w:sz w:val="24"/>
      <w:szCs w:val="24"/>
      <w:lang w:eastAsia="en-GB" w:bidi="en-GB"/>
    </w:rPr>
  </w:style>
  <w:style w:type="character" w:customStyle="1" w:styleId="Heading2Char">
    <w:name w:val="Heading 2 Char"/>
    <w:basedOn w:val="DefaultParagraphFont"/>
    <w:link w:val="Heading2"/>
    <w:uiPriority w:val="1"/>
    <w:rsid w:val="008D7398"/>
    <w:rPr>
      <w:rFonts w:ascii="Arial" w:eastAsia="Arial" w:hAnsi="Arial" w:cs="Arial"/>
      <w:b/>
      <w:bCs/>
      <w:sz w:val="24"/>
      <w:szCs w:val="24"/>
      <w:lang w:eastAsia="en-GB" w:bidi="en-GB"/>
    </w:rPr>
  </w:style>
  <w:style w:type="paragraph" w:styleId="ListParagraph">
    <w:name w:val="List Paragraph"/>
    <w:basedOn w:val="Normal"/>
    <w:uiPriority w:val="34"/>
    <w:qFormat/>
    <w:rsid w:val="008D7398"/>
    <w:pPr>
      <w:widowControl w:val="0"/>
      <w:autoSpaceDE w:val="0"/>
      <w:autoSpaceDN w:val="0"/>
      <w:ind w:left="986" w:hanging="361"/>
    </w:pPr>
    <w:rPr>
      <w:rFonts w:eastAsia="Arial"/>
      <w:szCs w:val="22"/>
      <w:lang w:bidi="en-GB"/>
    </w:rPr>
  </w:style>
  <w:style w:type="character" w:customStyle="1" w:styleId="Heading1Char">
    <w:name w:val="Heading 1 Char"/>
    <w:basedOn w:val="DefaultParagraphFont"/>
    <w:link w:val="Heading1"/>
    <w:uiPriority w:val="9"/>
    <w:rsid w:val="00C82F8F"/>
    <w:rPr>
      <w:rFonts w:asciiTheme="majorHAnsi" w:eastAsiaTheme="majorEastAsia" w:hAnsiTheme="majorHAnsi" w:cstheme="majorBidi"/>
      <w:color w:val="2E74B5" w:themeColor="accent1" w:themeShade="BF"/>
      <w:sz w:val="32"/>
      <w:szCs w:val="32"/>
      <w:lang w:eastAsia="en-GB"/>
    </w:rPr>
  </w:style>
  <w:style w:type="paragraph" w:customStyle="1" w:styleId="TableParagraph">
    <w:name w:val="Table Paragraph"/>
    <w:basedOn w:val="Normal"/>
    <w:uiPriority w:val="1"/>
    <w:qFormat/>
    <w:rsid w:val="00C82F8F"/>
    <w:pPr>
      <w:widowControl w:val="0"/>
      <w:autoSpaceDE w:val="0"/>
      <w:autoSpaceDN w:val="0"/>
      <w:ind w:left="108"/>
    </w:pPr>
    <w:rPr>
      <w:rFonts w:eastAsia="Arial"/>
      <w:szCs w:val="22"/>
      <w:lang w:bidi="en-GB"/>
    </w:rPr>
  </w:style>
  <w:style w:type="character" w:styleId="CommentReference">
    <w:name w:val="annotation reference"/>
    <w:basedOn w:val="DefaultParagraphFont"/>
    <w:uiPriority w:val="99"/>
    <w:semiHidden/>
    <w:unhideWhenUsed/>
    <w:rsid w:val="00C82F8F"/>
    <w:rPr>
      <w:sz w:val="16"/>
      <w:szCs w:val="16"/>
    </w:rPr>
  </w:style>
  <w:style w:type="paragraph" w:styleId="CommentText">
    <w:name w:val="annotation text"/>
    <w:basedOn w:val="Normal"/>
    <w:link w:val="CommentTextChar"/>
    <w:uiPriority w:val="99"/>
    <w:semiHidden/>
    <w:unhideWhenUsed/>
    <w:rsid w:val="00C82F8F"/>
    <w:rPr>
      <w:sz w:val="20"/>
    </w:rPr>
  </w:style>
  <w:style w:type="character" w:customStyle="1" w:styleId="CommentTextChar">
    <w:name w:val="Comment Text Char"/>
    <w:basedOn w:val="DefaultParagraphFont"/>
    <w:link w:val="CommentText"/>
    <w:uiPriority w:val="99"/>
    <w:semiHidden/>
    <w:rsid w:val="00C82F8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82F8F"/>
    <w:rPr>
      <w:b/>
      <w:bCs/>
    </w:rPr>
  </w:style>
  <w:style w:type="character" w:customStyle="1" w:styleId="CommentSubjectChar">
    <w:name w:val="Comment Subject Char"/>
    <w:basedOn w:val="CommentTextChar"/>
    <w:link w:val="CommentSubject"/>
    <w:uiPriority w:val="99"/>
    <w:semiHidden/>
    <w:rsid w:val="00C82F8F"/>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C82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8F"/>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755480"/>
    <w:rPr>
      <w:color w:val="954F72" w:themeColor="followedHyperlink"/>
      <w:u w:val="single"/>
    </w:rPr>
  </w:style>
  <w:style w:type="table" w:styleId="TableGrid">
    <w:name w:val="Table Grid"/>
    <w:basedOn w:val="TableNormal"/>
    <w:uiPriority w:val="39"/>
    <w:rsid w:val="006A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A0E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C7075"/>
    <w:pPr>
      <w:spacing w:after="0" w:line="240" w:lineRule="auto"/>
    </w:pPr>
    <w:rPr>
      <w:rFonts w:ascii="Arial" w:eastAsia="Times New Roman" w:hAnsi="Arial" w:cs="Arial"/>
      <w:szCs w:val="20"/>
      <w:lang w:eastAsia="en-GB"/>
    </w:rPr>
  </w:style>
  <w:style w:type="paragraph" w:customStyle="1" w:styleId="font8">
    <w:name w:val="font_8"/>
    <w:basedOn w:val="Normal"/>
    <w:rsid w:val="00A41B23"/>
    <w:pPr>
      <w:spacing w:before="100" w:beforeAutospacing="1" w:after="100" w:afterAutospacing="1"/>
    </w:pPr>
    <w:rPr>
      <w:rFonts w:ascii="Times New Roman" w:hAnsi="Times New Roman" w:cs="Times New Roman"/>
      <w:sz w:val="24"/>
      <w:szCs w:val="24"/>
    </w:rPr>
  </w:style>
  <w:style w:type="character" w:customStyle="1" w:styleId="wixui-rich-texttext">
    <w:name w:val="wixui-rich-text__text"/>
    <w:basedOn w:val="DefaultParagraphFont"/>
    <w:rsid w:val="00A41B23"/>
  </w:style>
  <w:style w:type="character" w:customStyle="1" w:styleId="wixguard">
    <w:name w:val="wixguard"/>
    <w:basedOn w:val="DefaultParagraphFont"/>
    <w:rsid w:val="00A41B23"/>
  </w:style>
  <w:style w:type="paragraph" w:styleId="Header">
    <w:name w:val="header"/>
    <w:basedOn w:val="Normal"/>
    <w:link w:val="HeaderChar"/>
    <w:uiPriority w:val="99"/>
    <w:unhideWhenUsed/>
    <w:rsid w:val="00967E54"/>
    <w:pPr>
      <w:tabs>
        <w:tab w:val="center" w:pos="4513"/>
        <w:tab w:val="right" w:pos="9026"/>
      </w:tabs>
    </w:pPr>
  </w:style>
  <w:style w:type="character" w:customStyle="1" w:styleId="HeaderChar">
    <w:name w:val="Header Char"/>
    <w:basedOn w:val="DefaultParagraphFont"/>
    <w:link w:val="Header"/>
    <w:uiPriority w:val="99"/>
    <w:rsid w:val="00967E54"/>
    <w:rPr>
      <w:rFonts w:ascii="Arial" w:eastAsia="Times New Roman" w:hAnsi="Arial" w:cs="Arial"/>
      <w:szCs w:val="20"/>
      <w:lang w:eastAsia="en-GB"/>
    </w:rPr>
  </w:style>
  <w:style w:type="paragraph" w:styleId="Footer">
    <w:name w:val="footer"/>
    <w:basedOn w:val="Normal"/>
    <w:link w:val="FooterChar"/>
    <w:uiPriority w:val="99"/>
    <w:unhideWhenUsed/>
    <w:rsid w:val="00FF0753"/>
    <w:pPr>
      <w:tabs>
        <w:tab w:val="center" w:pos="4513"/>
        <w:tab w:val="right" w:pos="9026"/>
      </w:tabs>
    </w:pPr>
  </w:style>
  <w:style w:type="character" w:customStyle="1" w:styleId="FooterChar">
    <w:name w:val="Footer Char"/>
    <w:basedOn w:val="DefaultParagraphFont"/>
    <w:link w:val="Footer"/>
    <w:uiPriority w:val="99"/>
    <w:rsid w:val="00FF0753"/>
    <w:rPr>
      <w:rFonts w:ascii="Arial" w:eastAsia="Times New Roman" w:hAnsi="Arial" w:cs="Arial"/>
      <w:szCs w:val="20"/>
      <w:lang w:eastAsia="en-GB"/>
    </w:rPr>
  </w:style>
  <w:style w:type="character" w:customStyle="1" w:styleId="UnresolvedMention">
    <w:name w:val="Unresolved Mention"/>
    <w:basedOn w:val="DefaultParagraphFont"/>
    <w:uiPriority w:val="99"/>
    <w:semiHidden/>
    <w:unhideWhenUsed/>
    <w:rsid w:val="00FC1A9F"/>
    <w:rPr>
      <w:color w:val="605E5C"/>
      <w:shd w:val="clear" w:color="auto" w:fill="E1DFDD"/>
    </w:rPr>
  </w:style>
  <w:style w:type="paragraph" w:styleId="TOCHeading">
    <w:name w:val="TOC Heading"/>
    <w:basedOn w:val="Heading1"/>
    <w:next w:val="Normal"/>
    <w:uiPriority w:val="39"/>
    <w:unhideWhenUsed/>
    <w:qFormat/>
    <w:rsid w:val="006B4075"/>
    <w:pPr>
      <w:spacing w:line="259" w:lineRule="auto"/>
      <w:outlineLvl w:val="9"/>
    </w:pPr>
    <w:rPr>
      <w:lang w:val="en-US" w:eastAsia="en-US"/>
    </w:rPr>
  </w:style>
  <w:style w:type="paragraph" w:styleId="Title">
    <w:name w:val="Title"/>
    <w:basedOn w:val="Normal"/>
    <w:next w:val="Normal"/>
    <w:link w:val="TitleChar"/>
    <w:uiPriority w:val="10"/>
    <w:qFormat/>
    <w:rsid w:val="006B40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075"/>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6B407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B4075"/>
    <w:rPr>
      <w:rFonts w:eastAsiaTheme="minorEastAsia"/>
      <w:color w:val="5A5A5A" w:themeColor="text1" w:themeTint="A5"/>
      <w:spacing w:val="15"/>
      <w:lang w:eastAsia="en-GB"/>
    </w:rPr>
  </w:style>
  <w:style w:type="paragraph" w:styleId="TOC1">
    <w:name w:val="toc 1"/>
    <w:basedOn w:val="Normal"/>
    <w:next w:val="Normal"/>
    <w:autoRedefine/>
    <w:uiPriority w:val="39"/>
    <w:unhideWhenUsed/>
    <w:rsid w:val="006B4075"/>
    <w:pPr>
      <w:spacing w:after="100"/>
    </w:pPr>
  </w:style>
  <w:style w:type="paragraph" w:styleId="TOC2">
    <w:name w:val="toc 2"/>
    <w:basedOn w:val="Normal"/>
    <w:next w:val="Normal"/>
    <w:autoRedefine/>
    <w:uiPriority w:val="39"/>
    <w:unhideWhenUsed/>
    <w:rsid w:val="006B4075"/>
    <w:pPr>
      <w:spacing w:after="100"/>
      <w:ind w:left="220"/>
    </w:pPr>
  </w:style>
  <w:style w:type="character" w:customStyle="1" w:styleId="Heading3Char">
    <w:name w:val="Heading 3 Char"/>
    <w:basedOn w:val="DefaultParagraphFont"/>
    <w:link w:val="Heading3"/>
    <w:uiPriority w:val="9"/>
    <w:rsid w:val="006B4075"/>
    <w:rPr>
      <w:rFonts w:asciiTheme="majorHAnsi" w:eastAsiaTheme="majorEastAsia" w:hAnsiTheme="majorHAnsi" w:cstheme="majorBidi"/>
      <w:color w:val="1F4D78" w:themeColor="accent1" w:themeShade="7F"/>
      <w:sz w:val="24"/>
      <w:szCs w:val="24"/>
      <w:lang w:eastAsia="en-GB"/>
    </w:rPr>
  </w:style>
  <w:style w:type="paragraph" w:styleId="TOC3">
    <w:name w:val="toc 3"/>
    <w:basedOn w:val="Normal"/>
    <w:next w:val="Normal"/>
    <w:autoRedefine/>
    <w:uiPriority w:val="39"/>
    <w:unhideWhenUsed/>
    <w:rsid w:val="006B40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1566">
      <w:bodyDiv w:val="1"/>
      <w:marLeft w:val="0"/>
      <w:marRight w:val="0"/>
      <w:marTop w:val="0"/>
      <w:marBottom w:val="0"/>
      <w:divBdr>
        <w:top w:val="none" w:sz="0" w:space="0" w:color="auto"/>
        <w:left w:val="none" w:sz="0" w:space="0" w:color="auto"/>
        <w:bottom w:val="none" w:sz="0" w:space="0" w:color="auto"/>
        <w:right w:val="none" w:sz="0" w:space="0" w:color="auto"/>
      </w:divBdr>
    </w:div>
    <w:div w:id="15799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50a1967b792ffff71a83e8/Keeping_children_safe_in_education_2024.pdf" TargetMode="External"/><Relationship Id="rId13" Type="http://schemas.openxmlformats.org/officeDocument/2006/relationships/hyperlink" Target="https://www.herefordshire.gov.uk/downloads/file/26537/herefordshire-council-plan-2024-2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refordshire.gov.uk/directory-record/6629/special-educational-needs-and-disabilities-send-strategy" TargetMode="External"/><Relationship Id="rId17" Type="http://schemas.openxmlformats.org/officeDocument/2006/relationships/hyperlink" Target="mailto:alternativeprovision@herefordshire.gov.uk" TargetMode="External"/><Relationship Id="rId2" Type="http://schemas.openxmlformats.org/officeDocument/2006/relationships/numbering" Target="numbering.xml"/><Relationship Id="rId16" Type="http://schemas.openxmlformats.org/officeDocument/2006/relationships/hyperlink" Target="https://www.herefordshire.gov.uk/support-schools-settings/teaching-children-sen-disability/1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downloads/file/8488/early_help_strategy" TargetMode="External"/><Relationship Id="rId5" Type="http://schemas.openxmlformats.org/officeDocument/2006/relationships/webSettings" Target="webSettings.xml"/><Relationship Id="rId15" Type="http://schemas.openxmlformats.org/officeDocument/2006/relationships/hyperlink" Target="https://www.herefordshire.gov.uk/support-schools-settings/behaviour-support" TargetMode="External"/><Relationship Id="rId10" Type="http://schemas.openxmlformats.org/officeDocument/2006/relationships/hyperlink" Target="https://www.herefordshire.gov.uk/downloads/file/18581/herefordshire_children_and_young_peoples_plan_2019-2024.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uk" TargetMode="External"/><Relationship Id="rId14" Type="http://schemas.openxmlformats.org/officeDocument/2006/relationships/hyperlink" Target="https://assets.publishing.service.gov.uk/government/uploads/system/uploads/attachment_data/file/942014/alternative_provision_statutory_guidance_accessib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6949-FA6B-475E-96CD-9919A911E09B}">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Alison</dc:creator>
  <cp:keywords/>
  <dc:description/>
  <cp:lastModifiedBy>Amelia Davies-Smith (Hoople Ltd)</cp:lastModifiedBy>
  <cp:revision>4</cp:revision>
  <dcterms:created xsi:type="dcterms:W3CDTF">2025-05-06T09:25:00Z</dcterms:created>
  <dcterms:modified xsi:type="dcterms:W3CDTF">2025-05-07T09:41:00Z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63356bd5,512c0f86,338e9fbf</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